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eastAsia="方正小标宋简体" w:cs="Times New Roman"/>
        </w:rPr>
      </w:pPr>
      <w:r>
        <w:rPr>
          <w:rFonts w:hint="eastAsia" w:ascii="宋体" w:hAnsi="宋体" w:eastAsia="宋体" w:cs="宋体"/>
          <w:kern w:val="0"/>
          <w:sz w:val="30"/>
          <w:szCs w:val="30"/>
        </w:rPr>
        <w:t>附件1：</w:t>
      </w:r>
    </w:p>
    <w:p>
      <w:pPr>
        <w:jc w:val="center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方正小标宋_GBK" w:hAnsi="仿宋" w:eastAsia="方正小标宋_GBK" w:cs="方正小标宋_GBK"/>
          <w:sz w:val="36"/>
          <w:szCs w:val="36"/>
        </w:rPr>
        <w:t>2022年度</w:t>
      </w:r>
      <w:r>
        <w:rPr>
          <w:rFonts w:hint="eastAsia" w:ascii="方正小标宋_GBK" w:hAnsi="仿宋" w:eastAsia="方正小标宋_GBK" w:cs="方正小标宋_GBK"/>
          <w:sz w:val="36"/>
          <w:szCs w:val="36"/>
          <w:lang w:val="en-US" w:eastAsia="zh-CN"/>
        </w:rPr>
        <w:t>中央司法救助资金专项资金（转移支付）</w:t>
      </w:r>
      <w:r>
        <w:rPr>
          <w:rFonts w:hint="eastAsia" w:ascii="方正小标宋_GBK" w:hAnsi="仿宋" w:eastAsia="方正小标宋_GBK" w:cs="方正小标宋_GBK"/>
          <w:sz w:val="36"/>
          <w:szCs w:val="36"/>
        </w:rPr>
        <w:t>项目绩效自评结果</w:t>
      </w:r>
    </w:p>
    <w:p>
      <w:pPr>
        <w:jc w:val="center"/>
        <w:rPr>
          <w:rFonts w:ascii="仿宋" w:hAnsi="仿宋" w:eastAsia="仿宋" w:cs="Times New Roman"/>
          <w:sz w:val="32"/>
          <w:szCs w:val="32"/>
        </w:rPr>
      </w:pP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一、自评结论</w:t>
      </w:r>
    </w:p>
    <w:p>
      <w:pPr>
        <w:ind w:firstLine="640" w:firstLineChars="200"/>
        <w:rPr>
          <w:rFonts w:hint="eastAsia" w:ascii="楷体_GB2312" w:hAnsi="楷体" w:eastAsia="楷体_GB2312" w:cs="楷体_GB2312"/>
          <w:sz w:val="32"/>
          <w:szCs w:val="32"/>
        </w:rPr>
      </w:pPr>
      <w:r>
        <w:rPr>
          <w:rFonts w:hint="eastAsia" w:ascii="楷体_GB2312" w:hAnsi="楷体" w:eastAsia="楷体_GB2312" w:cs="楷体_GB2312"/>
          <w:sz w:val="32"/>
          <w:szCs w:val="32"/>
        </w:rPr>
        <w:t>（一）部门整体绩效自评得分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部门整体绩效自评得分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5.253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分。</w:t>
      </w:r>
    </w:p>
    <w:p>
      <w:pPr>
        <w:ind w:firstLine="640" w:firstLineChars="200"/>
        <w:rPr>
          <w:rFonts w:ascii="楷体_GB2312" w:hAnsi="楷体" w:eastAsia="楷体_GB2312" w:cs="Times New Roman"/>
          <w:sz w:val="32"/>
          <w:szCs w:val="32"/>
        </w:rPr>
      </w:pPr>
      <w:r>
        <w:rPr>
          <w:rFonts w:hint="eastAsia" w:ascii="楷体_GB2312" w:hAnsi="楷体" w:eastAsia="楷体_GB2312" w:cs="楷体_GB2312"/>
          <w:sz w:val="32"/>
          <w:szCs w:val="32"/>
        </w:rPr>
        <w:t>（二）部门整体绩效目标完成情况</w:t>
      </w:r>
    </w:p>
    <w:p>
      <w:pPr>
        <w:ind w:firstLine="640" w:firstLineChars="200"/>
        <w:rPr>
          <w:rFonts w:ascii="仿宋" w:hAnsi="仿宋" w:eastAsia="仿宋" w:cs="Times New Roman"/>
          <w:color w:val="000000" w:themeColor="text1"/>
          <w:sz w:val="32"/>
          <w:szCs w:val="32"/>
        </w:rPr>
      </w:pPr>
      <w:r>
        <w:rPr>
          <w:rFonts w:ascii="仿宋" w:hAnsi="仿宋" w:eastAsia="仿宋" w:cs="仿宋_GB2312"/>
          <w:color w:val="000000" w:themeColor="text1"/>
          <w:sz w:val="32"/>
          <w:szCs w:val="32"/>
        </w:rPr>
        <w:t>1.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执行率完成情况为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</w:rPr>
        <w:t>26.26%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。</w:t>
      </w:r>
    </w:p>
    <w:p>
      <w:pPr>
        <w:ind w:firstLine="640" w:firstLineChars="200"/>
        <w:rPr>
          <w:rFonts w:ascii="仿宋_GB2312" w:eastAsia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cs="仿宋_GB2312"/>
          <w:color w:val="000000" w:themeColor="text1"/>
          <w:sz w:val="32"/>
          <w:szCs w:val="32"/>
        </w:rPr>
        <w:t>2.</w:t>
      </w:r>
      <w:r>
        <w:rPr>
          <w:rFonts w:hint="eastAsia" w:ascii="仿宋_GB2312" w:eastAsia="仿宋_GB2312" w:cs="仿宋_GB2312"/>
          <w:color w:val="000000" w:themeColor="text1"/>
          <w:sz w:val="32"/>
          <w:szCs w:val="32"/>
        </w:rPr>
        <w:t>完成的绩效目标有：</w:t>
      </w:r>
      <w:r>
        <w:rPr>
          <w:rFonts w:hint="eastAsia" w:ascii="仿宋_GB2312" w:eastAsia="仿宋_GB2312" w:cs="仿宋_GB2312"/>
          <w:color w:val="000000" w:themeColor="text1"/>
          <w:sz w:val="32"/>
          <w:szCs w:val="32"/>
          <w:lang w:val="en-US" w:eastAsia="zh-CN"/>
        </w:rPr>
        <w:t>司法救助案件数量</w:t>
      </w:r>
      <w:r>
        <w:rPr>
          <w:rFonts w:hint="eastAsia" w:ascii="仿宋_GB2312" w:eastAsia="仿宋_GB2312" w:cs="仿宋_GB2312"/>
          <w:color w:val="000000" w:themeColor="text1"/>
          <w:sz w:val="32"/>
          <w:szCs w:val="32"/>
        </w:rPr>
        <w:t>。</w:t>
      </w:r>
    </w:p>
    <w:p>
      <w:pPr>
        <w:ind w:firstLine="640" w:firstLineChars="200"/>
        <w:rPr>
          <w:rFonts w:ascii="仿宋_GB2312" w:eastAsia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cs="仿宋_GB2312"/>
          <w:color w:val="000000" w:themeColor="text1"/>
          <w:sz w:val="32"/>
          <w:szCs w:val="32"/>
        </w:rPr>
        <w:t>3.</w:t>
      </w:r>
      <w:r>
        <w:rPr>
          <w:rFonts w:hint="eastAsia" w:ascii="仿宋_GB2312" w:eastAsia="仿宋_GB2312" w:cs="仿宋_GB2312"/>
          <w:color w:val="000000" w:themeColor="text1"/>
          <w:sz w:val="32"/>
          <w:szCs w:val="32"/>
        </w:rPr>
        <w:t>未完成的绩效目标有：</w:t>
      </w:r>
      <w:r>
        <w:rPr>
          <w:rFonts w:hint="eastAsia" w:ascii="仿宋_GB2312" w:eastAsia="仿宋_GB2312" w:cs="仿宋_GB2312"/>
          <w:color w:val="000000" w:themeColor="text1"/>
          <w:sz w:val="32"/>
          <w:szCs w:val="32"/>
          <w:lang w:val="en-US" w:eastAsia="zh-CN"/>
        </w:rPr>
        <w:t>司法救助资金</w:t>
      </w:r>
      <w:r>
        <w:rPr>
          <w:rFonts w:hint="eastAsia" w:ascii="仿宋_GB2312" w:eastAsia="仿宋_GB2312" w:cs="仿宋_GB2312"/>
          <w:color w:val="000000" w:themeColor="text1"/>
          <w:sz w:val="32"/>
          <w:szCs w:val="32"/>
        </w:rPr>
        <w:t>。</w:t>
      </w:r>
    </w:p>
    <w:p>
      <w:pPr>
        <w:ind w:firstLine="640" w:firstLineChars="200"/>
        <w:rPr>
          <w:rFonts w:ascii="楷体_GB2312" w:hAnsi="楷体" w:eastAsia="楷体_GB2312" w:cs="Times New Roman"/>
          <w:sz w:val="32"/>
          <w:szCs w:val="32"/>
        </w:rPr>
      </w:pPr>
      <w:r>
        <w:rPr>
          <w:rFonts w:hint="eastAsia" w:ascii="楷体_GB2312" w:hAnsi="楷体" w:eastAsia="楷体_GB2312" w:cs="楷体_GB2312"/>
          <w:sz w:val="32"/>
          <w:szCs w:val="32"/>
        </w:rPr>
        <w:t>（三）存在的问题和原因</w:t>
      </w:r>
    </w:p>
    <w:p>
      <w:pPr>
        <w:ind w:firstLine="640" w:firstLineChars="200"/>
        <w:rPr>
          <w:rFonts w:hint="eastAsia" w:ascii="仿宋" w:hAnsi="仿宋" w:eastAsia="仿宋" w:cs="仿宋_GB2312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经费使用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</w:rPr>
        <w:t>不及时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。</w:t>
      </w:r>
    </w:p>
    <w:p>
      <w:pPr>
        <w:ind w:firstLine="640" w:firstLineChars="200"/>
        <w:rPr>
          <w:rFonts w:hint="eastAsia" w:ascii="仿宋" w:hAnsi="仿宋" w:eastAsia="仿宋" w:cs="仿宋_GB2312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1.经费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</w:rPr>
        <w:t>从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下拨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</w:rPr>
        <w:t>到关账时间较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短，每年12月初中央资金下拨，12月下旬关账，导致短时间内没有资金相应的司法救助案件数量。</w:t>
      </w:r>
    </w:p>
    <w:p>
      <w:pPr>
        <w:ind w:firstLine="640" w:firstLineChars="200"/>
        <w:rPr>
          <w:rFonts w:hint="eastAsia" w:asci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2.政法各部门上报司法救助案件不及时，没有在短时间内上报相关材料。</w:t>
      </w:r>
    </w:p>
    <w:p>
      <w:pPr>
        <w:ind w:firstLine="640" w:firstLineChars="200"/>
        <w:rPr>
          <w:rFonts w:ascii="楷体_GB2312" w:hAnsi="楷体" w:eastAsia="楷体_GB2312" w:cs="Times New Roman"/>
          <w:sz w:val="32"/>
          <w:szCs w:val="32"/>
        </w:rPr>
      </w:pPr>
      <w:r>
        <w:rPr>
          <w:rFonts w:hint="eastAsia" w:ascii="楷体_GB2312" w:hAnsi="楷体" w:eastAsia="楷体_GB2312" w:cs="楷体_GB2312"/>
          <w:sz w:val="32"/>
          <w:szCs w:val="32"/>
        </w:rPr>
        <w:t>（四）下一步拟改进措施</w:t>
      </w:r>
    </w:p>
    <w:p>
      <w:pPr>
        <w:ind w:firstLine="640" w:firstLineChars="200"/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</w:rPr>
        <w:t xml:space="preserve">1.进一步加强外出调研考察学习工作力度，确保取得实效。   </w:t>
      </w:r>
    </w:p>
    <w:p>
      <w:pPr>
        <w:ind w:firstLine="640" w:firstLineChars="200"/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</w:rPr>
        <w:t>2.加强司法救助工作统筹力度，使资源配置更合理。</w:t>
      </w: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二、佐证材料</w:t>
      </w:r>
    </w:p>
    <w:p>
      <w:pPr>
        <w:ind w:firstLine="640" w:firstLineChars="200"/>
        <w:rPr>
          <w:rFonts w:ascii="楷体_GB2312" w:hAnsi="楷体" w:eastAsia="楷体_GB2312" w:cs="Times New Roman"/>
          <w:sz w:val="32"/>
          <w:szCs w:val="32"/>
        </w:rPr>
      </w:pPr>
      <w:r>
        <w:rPr>
          <w:rFonts w:hint="eastAsia" w:ascii="楷体_GB2312" w:hAnsi="楷体" w:eastAsia="楷体_GB2312" w:cs="楷体_GB2312"/>
          <w:sz w:val="32"/>
          <w:szCs w:val="32"/>
        </w:rPr>
        <w:t>（一）基本情况</w:t>
      </w:r>
    </w:p>
    <w:p>
      <w:pPr>
        <w:ind w:firstLine="640" w:firstLineChars="200"/>
        <w:rPr>
          <w:rFonts w:hint="default" w:ascii="仿宋_GB2312" w:hAnsi="仿宋" w:eastAsia="仿宋_GB2312" w:cs="仿宋_GB2312"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 w:themeColor="text1"/>
          <w:sz w:val="32"/>
          <w:szCs w:val="32"/>
          <w:lang w:val="en-US" w:eastAsia="zh-CN"/>
        </w:rPr>
        <w:t>2022年度司法救助案件清单</w:t>
      </w:r>
    </w:p>
    <w:p>
      <w:pPr>
        <w:ind w:firstLine="640" w:firstLineChars="200"/>
        <w:rPr>
          <w:rFonts w:ascii="楷体_GB2312" w:hAnsi="楷体" w:eastAsia="楷体_GB2312" w:cs="Times New Roman"/>
          <w:sz w:val="32"/>
          <w:szCs w:val="32"/>
        </w:rPr>
      </w:pPr>
      <w:r>
        <w:rPr>
          <w:rFonts w:hint="eastAsia" w:ascii="楷体_GB2312" w:hAnsi="楷体" w:eastAsia="楷体_GB2312" w:cs="楷体_GB2312"/>
          <w:sz w:val="32"/>
          <w:szCs w:val="32"/>
        </w:rPr>
        <w:t>（二）部门自评工作开展情况</w:t>
      </w:r>
    </w:p>
    <w:p>
      <w:pPr>
        <w:ind w:firstLine="640" w:firstLineChars="200"/>
        <w:rPr>
          <w:rFonts w:hint="default" w:ascii="仿宋_GB2312" w:cs="Times New Roman"/>
          <w:highlight w:val="none"/>
          <w:lang w:val="en-US"/>
        </w:rPr>
      </w:pPr>
      <w:r>
        <w:rPr>
          <w:rFonts w:hint="eastAsia" w:ascii="仿宋_GB2312" w:hAnsi="仿宋" w:eastAsia="仿宋_GB2312" w:cs="仿宋_GB2312"/>
          <w:color w:val="000000" w:themeColor="text1"/>
          <w:sz w:val="32"/>
          <w:szCs w:val="32"/>
          <w:highlight w:val="none"/>
          <w:lang w:eastAsia="zh-CN"/>
        </w:rPr>
        <w:t>2022年度中央司法救助资金专项资金（转移支付）</w:t>
      </w:r>
      <w:r>
        <w:rPr>
          <w:rFonts w:hint="eastAsia" w:ascii="仿宋_GB2312" w:hAnsi="仿宋" w:eastAsia="仿宋_GB2312" w:cs="仿宋_GB2312"/>
          <w:color w:val="000000" w:themeColor="text1"/>
          <w:sz w:val="32"/>
          <w:szCs w:val="32"/>
          <w:highlight w:val="none"/>
          <w:lang w:val="en-US" w:eastAsia="zh-CN"/>
        </w:rPr>
        <w:t>91万元，使用23.9万元，使用率较低。</w:t>
      </w:r>
    </w:p>
    <w:p>
      <w:pPr>
        <w:ind w:firstLine="640" w:firstLineChars="200"/>
        <w:rPr>
          <w:rFonts w:ascii="楷体_GB2312" w:hAnsi="楷体" w:eastAsia="楷体_GB2312" w:cs="Times New Roman"/>
          <w:sz w:val="32"/>
          <w:szCs w:val="32"/>
        </w:rPr>
      </w:pPr>
      <w:r>
        <w:rPr>
          <w:rFonts w:hint="eastAsia" w:ascii="楷体_GB2312" w:hAnsi="楷体" w:eastAsia="楷体_GB2312" w:cs="楷体_GB2312"/>
          <w:sz w:val="32"/>
          <w:szCs w:val="32"/>
        </w:rPr>
        <w:t>（三）绩效目标完成情况分析</w:t>
      </w:r>
    </w:p>
    <w:p>
      <w:pPr>
        <w:ind w:firstLine="640" w:firstLineChars="200"/>
        <w:outlineLvl w:val="0"/>
        <w:rPr>
          <w:rFonts w:ascii="仿宋_GB2312" w:hAnsi="楷体_GB2312" w:eastAsia="仿宋_GB2312" w:cs="Times New Roman"/>
          <w:color w:val="000000" w:themeColor="text1"/>
          <w:sz w:val="32"/>
          <w:szCs w:val="32"/>
        </w:rPr>
      </w:pPr>
      <w:r>
        <w:rPr>
          <w:rFonts w:ascii="仿宋_GB2312" w:hAnsi="楷体_GB2312" w:eastAsia="仿宋_GB2312" w:cs="仿宋_GB2312"/>
          <w:color w:val="000000" w:themeColor="text1"/>
          <w:sz w:val="32"/>
          <w:szCs w:val="32"/>
        </w:rPr>
        <w:t>1.</w:t>
      </w:r>
      <w:r>
        <w:rPr>
          <w:rFonts w:hint="eastAsia" w:ascii="仿宋_GB2312" w:hAnsi="楷体_GB2312" w:eastAsia="仿宋_GB2312" w:cs="仿宋_GB2312"/>
          <w:color w:val="000000" w:themeColor="text1"/>
          <w:sz w:val="32"/>
          <w:szCs w:val="32"/>
        </w:rPr>
        <w:t>预算执行率为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</w:rPr>
        <w:t>26.26%</w:t>
      </w:r>
      <w:r>
        <w:rPr>
          <w:rFonts w:hint="eastAsia" w:ascii="仿宋_GB2312" w:hAnsi="楷体_GB2312" w:eastAsia="仿宋_GB2312" w:cs="仿宋_GB2312"/>
          <w:color w:val="000000" w:themeColor="text1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仿宋_GB2312" w:hAnsi="楷体_GB2312" w:eastAsia="仿宋_GB2312" w:cs="Times New Roman"/>
          <w:sz w:val="32"/>
          <w:szCs w:val="32"/>
        </w:rPr>
      </w:pPr>
      <w:r>
        <w:rPr>
          <w:rFonts w:ascii="仿宋_GB2312" w:hAnsi="楷体_GB2312" w:eastAsia="仿宋_GB2312" w:cs="仿宋_GB2312"/>
          <w:sz w:val="32"/>
          <w:szCs w:val="32"/>
        </w:rPr>
        <w:t>2.</w:t>
      </w:r>
      <w:r>
        <w:rPr>
          <w:rFonts w:hint="eastAsia" w:ascii="仿宋_GB2312" w:hAnsi="楷体_GB2312" w:eastAsia="仿宋_GB2312" w:cs="仿宋_GB2312"/>
          <w:sz w:val="32"/>
          <w:szCs w:val="32"/>
        </w:rPr>
        <w:t>绩效目标完成情况分析（包括完成情况和偏离原因等）。</w:t>
      </w:r>
    </w:p>
    <w:p>
      <w:pPr>
        <w:ind w:firstLine="640" w:firstLineChars="200"/>
        <w:rPr>
          <w:rFonts w:hint="default" w:ascii="仿宋_GB2312" w:hAnsi="仿宋" w:eastAsia="仿宋_GB2312" w:cs="Times New Roman"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 w:themeColor="text1"/>
          <w:sz w:val="32"/>
          <w:szCs w:val="32"/>
        </w:rPr>
        <w:t>（</w:t>
      </w:r>
      <w:r>
        <w:rPr>
          <w:rFonts w:ascii="仿宋_GB2312" w:hAnsi="仿宋" w:eastAsia="仿宋_GB2312" w:cs="仿宋_GB2312"/>
          <w:color w:val="000000" w:themeColor="text1"/>
          <w:sz w:val="32"/>
          <w:szCs w:val="32"/>
        </w:rPr>
        <w:t>1</w:t>
      </w:r>
      <w:r>
        <w:rPr>
          <w:rFonts w:hint="eastAsia" w:ascii="仿宋_GB2312" w:hAnsi="仿宋" w:eastAsia="仿宋_GB2312" w:cs="仿宋_GB2312"/>
          <w:color w:val="000000" w:themeColor="text1"/>
          <w:sz w:val="32"/>
          <w:szCs w:val="32"/>
        </w:rPr>
        <w:t>）产出指标完成情况分析。2022年度产出指标</w:t>
      </w:r>
      <w:r>
        <w:rPr>
          <w:rFonts w:hint="eastAsia" w:ascii="仿宋_GB2312" w:hAnsi="仿宋" w:eastAsia="仿宋_GB2312" w:cs="仿宋_GB2312"/>
          <w:color w:val="000000" w:themeColor="text1"/>
          <w:sz w:val="32"/>
          <w:szCs w:val="32"/>
          <w:lang w:val="en-US" w:eastAsia="zh-CN"/>
        </w:rPr>
        <w:t>均已完成</w:t>
      </w:r>
      <w:r>
        <w:rPr>
          <w:rFonts w:hint="eastAsia" w:ascii="仿宋_GB2312" w:hAnsi="仿宋" w:eastAsia="仿宋_GB2312" w:cs="仿宋_GB2312"/>
          <w:color w:val="000000" w:themeColor="text1"/>
          <w:sz w:val="32"/>
          <w:szCs w:val="32"/>
        </w:rPr>
        <w:t>。</w:t>
      </w:r>
      <w:r>
        <w:rPr>
          <w:rFonts w:hint="eastAsia" w:ascii="仿宋_GB2312" w:hAnsi="楷体_GB2312" w:eastAsia="仿宋_GB2312" w:cs="仿宋_GB2312"/>
          <w:color w:val="000000" w:themeColor="text1"/>
          <w:sz w:val="32"/>
          <w:szCs w:val="32"/>
        </w:rPr>
        <w:t>执行率</w:t>
      </w:r>
      <w:r>
        <w:rPr>
          <w:rFonts w:hint="eastAsia" w:ascii="仿宋_GB2312" w:hAnsi="仿宋" w:eastAsia="仿宋_GB2312" w:cs="仿宋_GB2312"/>
          <w:color w:val="000000" w:themeColor="text1"/>
          <w:sz w:val="32"/>
          <w:szCs w:val="32"/>
          <w:lang w:val="en-US" w:eastAsia="zh-CN"/>
        </w:rPr>
        <w:t>不高的原因在于：办理的案件数与下拨的资金不匹配，案件数较少；每起案件使用的司法救助资金额度较小。</w:t>
      </w:r>
    </w:p>
    <w:p>
      <w:pPr>
        <w:ind w:firstLine="640" w:firstLineChars="200"/>
        <w:rPr>
          <w:rFonts w:ascii="仿宋_GB2312" w:hAnsi="仿宋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 w:themeColor="text1"/>
          <w:sz w:val="32"/>
          <w:szCs w:val="32"/>
        </w:rPr>
        <w:t>（</w:t>
      </w:r>
      <w:r>
        <w:rPr>
          <w:rFonts w:ascii="仿宋_GB2312" w:hAnsi="仿宋" w:eastAsia="仿宋_GB2312" w:cs="仿宋_GB2312"/>
          <w:color w:val="000000" w:themeColor="text1"/>
          <w:sz w:val="32"/>
          <w:szCs w:val="32"/>
        </w:rPr>
        <w:t>2</w:t>
      </w:r>
      <w:r>
        <w:rPr>
          <w:rFonts w:hint="eastAsia" w:ascii="仿宋_GB2312" w:hAnsi="仿宋" w:eastAsia="仿宋_GB2312" w:cs="仿宋_GB2312"/>
          <w:color w:val="000000" w:themeColor="text1"/>
          <w:sz w:val="32"/>
          <w:szCs w:val="32"/>
        </w:rPr>
        <w:t>）效益指标完成情况分析。2022年度效益目标</w:t>
      </w:r>
      <w:r>
        <w:rPr>
          <w:rFonts w:hint="eastAsia" w:ascii="仿宋_GB2312" w:hAnsi="仿宋" w:eastAsia="仿宋_GB2312" w:cs="仿宋_GB2312"/>
          <w:color w:val="000000" w:themeColor="text1"/>
          <w:sz w:val="32"/>
          <w:szCs w:val="32"/>
          <w:lang w:eastAsia="zh-CN"/>
        </w:rPr>
        <w:t>已</w:t>
      </w:r>
      <w:r>
        <w:rPr>
          <w:rFonts w:hint="eastAsia" w:ascii="仿宋_GB2312" w:hAnsi="仿宋" w:eastAsia="仿宋_GB2312" w:cs="仿宋_GB2312"/>
          <w:color w:val="000000" w:themeColor="text1"/>
          <w:sz w:val="32"/>
          <w:szCs w:val="32"/>
        </w:rPr>
        <w:t>完成。</w:t>
      </w:r>
    </w:p>
    <w:p>
      <w:pPr>
        <w:ind w:firstLine="640" w:firstLineChars="200"/>
        <w:rPr>
          <w:rFonts w:hint="eastAsia" w:ascii="仿宋_GB2312" w:hAnsi="仿宋" w:eastAsia="仿宋_GB2312" w:cs="仿宋_GB2312"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 w:themeColor="text1"/>
          <w:sz w:val="32"/>
          <w:szCs w:val="32"/>
        </w:rPr>
        <w:t>（3）满意度指标完成情况分析。2022年</w:t>
      </w:r>
      <w:r>
        <w:rPr>
          <w:rFonts w:hint="eastAsia" w:ascii="仿宋_GB2312" w:hAnsi="仿宋" w:eastAsia="仿宋_GB2312" w:cs="仿宋_GB2312"/>
          <w:color w:val="000000" w:themeColor="text1"/>
          <w:sz w:val="32"/>
          <w:szCs w:val="32"/>
          <w:lang w:val="en-US" w:eastAsia="zh-CN"/>
        </w:rPr>
        <w:t>建立涉法涉诉工作平台，并组织开展法律咨询、信访案件化解等工作。</w:t>
      </w:r>
    </w:p>
    <w:p>
      <w:pPr>
        <w:ind w:firstLine="640" w:firstLineChars="200"/>
        <w:rPr>
          <w:rFonts w:ascii="楷体_GB2312" w:hAnsi="楷体" w:eastAsia="楷体_GB2312" w:cs="楷体_GB2312"/>
          <w:sz w:val="32"/>
          <w:szCs w:val="32"/>
        </w:rPr>
      </w:pPr>
      <w:r>
        <w:rPr>
          <w:rFonts w:hint="eastAsia" w:ascii="楷体_GB2312" w:hAnsi="楷体" w:eastAsia="楷体_GB2312" w:cs="楷体_GB2312"/>
          <w:sz w:val="32"/>
          <w:szCs w:val="32"/>
        </w:rPr>
        <w:t>（四）上年度部门整体部门自评结果应用情况</w:t>
      </w:r>
    </w:p>
    <w:p>
      <w:pPr>
        <w:ind w:firstLine="640" w:firstLineChars="200"/>
        <w:rPr>
          <w:rFonts w:hint="eastAsia" w:ascii="楷体_GB2312" w:hAnsi="楷体" w:eastAsia="楷体_GB2312" w:cs="楷体_GB2312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 w:themeColor="text1"/>
          <w:sz w:val="32"/>
          <w:szCs w:val="32"/>
        </w:rPr>
        <w:t>上年度部门预算经费执行率</w:t>
      </w:r>
      <w:r>
        <w:rPr>
          <w:rFonts w:hint="eastAsia" w:ascii="仿宋_GB2312" w:hAnsi="仿宋" w:eastAsia="仿宋_GB2312" w:cs="仿宋_GB2312"/>
          <w:color w:val="000000" w:themeColor="text1"/>
          <w:sz w:val="32"/>
          <w:szCs w:val="32"/>
          <w:lang w:val="en-US" w:eastAsia="zh-CN"/>
        </w:rPr>
        <w:t>较低</w:t>
      </w:r>
      <w:r>
        <w:rPr>
          <w:rFonts w:hint="eastAsia" w:ascii="仿宋_GB2312" w:hAnsi="仿宋" w:eastAsia="仿宋_GB2312" w:cs="仿宋_GB2312"/>
          <w:color w:val="000000" w:themeColor="text1"/>
          <w:sz w:val="32"/>
          <w:szCs w:val="32"/>
        </w:rPr>
        <w:t>。本年度将按照中央、省级相关要求</w:t>
      </w:r>
      <w:r>
        <w:rPr>
          <w:rFonts w:hint="eastAsia" w:ascii="仿宋_GB2312" w:hAnsi="仿宋" w:eastAsia="仿宋_GB2312" w:cs="仿宋_GB2312"/>
          <w:color w:val="000000" w:themeColor="text1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仿宋_GB2312"/>
          <w:color w:val="000000" w:themeColor="text1"/>
          <w:sz w:val="32"/>
          <w:szCs w:val="32"/>
        </w:rPr>
        <w:t>在编制本年度工作预算工作中，</w:t>
      </w:r>
      <w:r>
        <w:rPr>
          <w:rFonts w:hint="eastAsia" w:ascii="仿宋_GB2312" w:hAnsi="仿宋" w:eastAsia="仿宋_GB2312" w:cs="仿宋_GB2312"/>
          <w:color w:val="000000" w:themeColor="text1"/>
          <w:sz w:val="32"/>
          <w:szCs w:val="32"/>
          <w:lang w:eastAsia="zh-CN"/>
        </w:rPr>
        <w:t>更加细化</w:t>
      </w:r>
      <w:r>
        <w:rPr>
          <w:rFonts w:hint="eastAsia" w:ascii="仿宋_GB2312" w:hAnsi="仿宋" w:eastAsia="仿宋_GB2312" w:cs="仿宋_GB2312"/>
          <w:color w:val="000000" w:themeColor="text1"/>
          <w:sz w:val="32"/>
          <w:szCs w:val="32"/>
        </w:rPr>
        <w:t>，合理编制、使用工作专项经费，并按标准执行。</w:t>
      </w:r>
    </w:p>
    <w:p>
      <w:pPr>
        <w:ind w:firstLine="640" w:firstLineChars="200"/>
        <w:rPr>
          <w:rFonts w:hint="eastAsia" w:ascii="楷体_GB2312" w:hAnsi="楷体" w:eastAsia="楷体_GB2312" w:cs="楷体_GB2312"/>
          <w:sz w:val="32"/>
          <w:szCs w:val="32"/>
        </w:rPr>
      </w:pPr>
      <w:r>
        <w:rPr>
          <w:rFonts w:hint="eastAsia" w:ascii="楷体_GB2312" w:hAnsi="楷体" w:eastAsia="楷体_GB2312" w:cs="楷体_GB2312"/>
          <w:sz w:val="32"/>
          <w:szCs w:val="32"/>
        </w:rPr>
        <w:t>（五）其他佐证材料</w:t>
      </w:r>
    </w:p>
    <w:p>
      <w:pPr>
        <w:ind w:firstLine="640" w:firstLineChars="200"/>
        <w:rPr>
          <w:rFonts w:hint="eastAsia" w:ascii="宋体" w:hAnsi="宋体" w:eastAsia="宋体" w:cs="宋体"/>
          <w:kern w:val="0"/>
          <w:sz w:val="30"/>
          <w:szCs w:val="30"/>
        </w:rPr>
      </w:pPr>
      <w:r>
        <w:rPr>
          <w:rFonts w:hint="eastAsia" w:ascii="仿宋_GB2312" w:hAnsi="仿宋" w:eastAsia="仿宋_GB2312" w:cs="仿宋_GB2312"/>
          <w:color w:val="000000" w:themeColor="text1"/>
          <w:sz w:val="32"/>
          <w:szCs w:val="32"/>
        </w:rPr>
        <w:t>无。</w:t>
      </w:r>
      <w:bookmarkStart w:id="0" w:name="_GoBack"/>
      <w:bookmarkEnd w:id="0"/>
    </w:p>
    <w:p>
      <w:pPr>
        <w:rPr>
          <w:rFonts w:ascii="宋体" w:hAnsi="宋体" w:eastAsia="宋体" w:cs="宋体"/>
          <w:kern w:val="0"/>
          <w:sz w:val="30"/>
          <w:szCs w:val="30"/>
        </w:rPr>
      </w:pPr>
      <w:r>
        <w:rPr>
          <w:rFonts w:hint="eastAsia" w:ascii="宋体" w:hAnsi="宋体" w:eastAsia="宋体" w:cs="宋体"/>
          <w:kern w:val="0"/>
          <w:sz w:val="30"/>
          <w:szCs w:val="30"/>
        </w:rPr>
        <w:t>附件2.</w:t>
      </w:r>
    </w:p>
    <w:p>
      <w:pPr>
        <w:jc w:val="center"/>
        <w:rPr>
          <w:rFonts w:cs="Times New Roma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2022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年度市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eastAsia="zh-CN"/>
        </w:rPr>
        <w:t>法学会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经费项目自评表</w:t>
      </w:r>
    </w:p>
    <w:p>
      <w:pPr>
        <w:widowControl/>
        <w:jc w:val="left"/>
        <w:rPr>
          <w:rFonts w:ascii="楷体_GB2312" w:hAnsi="黑体" w:eastAsia="楷体_GB2312" w:cs="Times New Roman"/>
          <w:kern w:val="0"/>
          <w:sz w:val="48"/>
          <w:szCs w:val="48"/>
        </w:rPr>
      </w:pP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单位名称：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val="en-US" w:eastAsia="zh-CN"/>
        </w:rPr>
        <w:t>执法监督科</w:t>
      </w:r>
      <w:r>
        <w:rPr>
          <w:rFonts w:ascii="楷体_GB2312" w:hAnsi="仿宋" w:eastAsia="楷体_GB2312" w:cs="楷体_GB2312"/>
          <w:kern w:val="0"/>
          <w:sz w:val="28"/>
          <w:szCs w:val="28"/>
        </w:rPr>
        <w:t xml:space="preserve">              </w:t>
      </w: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填报日期：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val="en-US" w:eastAsia="zh-CN"/>
        </w:rPr>
        <w:t>2023年6月6日</w:t>
      </w:r>
    </w:p>
    <w:tbl>
      <w:tblPr>
        <w:tblStyle w:val="6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中央司法救助资金专项资金（转移支付）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主管部门</w:t>
            </w:r>
          </w:p>
        </w:tc>
        <w:tc>
          <w:tcPr>
            <w:tcW w:w="3364" w:type="dxa"/>
            <w:gridSpan w:val="3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中共鄂州市委政法委员会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执法监督科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、部门预算项目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、省直专项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、省对下转移支付项目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sym w:font="Wingdings 2" w:char="005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、持续性项目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、新增性项目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、常年性项目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、延续性项目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、一次性项目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预算执行情况（万元）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分）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1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</w:rPr>
              <w:t>A）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</w:rPr>
              <w:t>（B）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</w:rPr>
              <w:t>（B/A）</w:t>
            </w:r>
          </w:p>
        </w:tc>
        <w:tc>
          <w:tcPr>
            <w:tcW w:w="219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得分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</w:t>
            </w:r>
            <w:r>
              <w:rPr>
                <w:rFonts w:ascii="仿宋_GB2312" w:hAnsi="宋体" w:eastAsia="仿宋_GB2312" w:cs="仿宋_GB2312"/>
                <w:kern w:val="0"/>
              </w:rPr>
              <w:t>*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执行率）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年度财政资金总额</w:t>
            </w:r>
          </w:p>
        </w:tc>
        <w:tc>
          <w:tcPr>
            <w:tcW w:w="1319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91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23.9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26.26%</w:t>
            </w:r>
          </w:p>
        </w:tc>
        <w:tc>
          <w:tcPr>
            <w:tcW w:w="219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5.253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  <w:t>XX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分）</w:t>
            </w:r>
          </w:p>
        </w:tc>
        <w:tc>
          <w:tcPr>
            <w:tcW w:w="700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22" w:type="dxa"/>
            <w:vAlign w:val="bottom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数量指标</w:t>
            </w:r>
          </w:p>
        </w:tc>
        <w:tc>
          <w:tcPr>
            <w:tcW w:w="2636" w:type="dxa"/>
            <w:gridSpan w:val="3"/>
            <w:vAlign w:val="bottom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开展司法救助数量</w:t>
            </w:r>
          </w:p>
        </w:tc>
        <w:tc>
          <w:tcPr>
            <w:tcW w:w="146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≥9件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已完成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Align w:val="bottom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质量指标</w:t>
            </w:r>
          </w:p>
        </w:tc>
        <w:tc>
          <w:tcPr>
            <w:tcW w:w="2636" w:type="dxa"/>
            <w:gridSpan w:val="3"/>
            <w:vAlign w:val="bottom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办理程序规范、适用依据准确，救助资金全部发放给救助对象</w:t>
            </w:r>
          </w:p>
        </w:tc>
        <w:tc>
          <w:tcPr>
            <w:tcW w:w="1466" w:type="dxa"/>
            <w:vAlign w:val="bottom"/>
          </w:tcPr>
          <w:p>
            <w:pPr>
              <w:snapToGrid w:val="0"/>
              <w:jc w:val="both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稳步提升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已完成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Align w:val="bottom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时效指标</w:t>
            </w:r>
          </w:p>
        </w:tc>
        <w:tc>
          <w:tcPr>
            <w:tcW w:w="2636" w:type="dxa"/>
            <w:gridSpan w:val="3"/>
            <w:vAlign w:val="bottom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司法救助案件全部按时限要求完成</w:t>
            </w:r>
          </w:p>
        </w:tc>
        <w:tc>
          <w:tcPr>
            <w:tcW w:w="1466" w:type="dxa"/>
            <w:vAlign w:val="bottom"/>
          </w:tcPr>
          <w:p>
            <w:pPr>
              <w:snapToGrid w:val="0"/>
              <w:jc w:val="both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收到审批材料，5个工作日内作出审批意见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已完成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22" w:type="dxa"/>
            <w:vAlign w:val="bottom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社会效益指标</w:t>
            </w:r>
          </w:p>
        </w:tc>
        <w:tc>
          <w:tcPr>
            <w:tcW w:w="2636" w:type="dxa"/>
            <w:gridSpan w:val="3"/>
            <w:vAlign w:val="bottom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维护当事人合法权益，促进社会和谐稳定</w:t>
            </w:r>
          </w:p>
        </w:tc>
        <w:tc>
          <w:tcPr>
            <w:tcW w:w="146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Times New Roman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稳步提升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bidi w:val="0"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已完成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Align w:val="bottom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生态效益指标</w:t>
            </w:r>
          </w:p>
        </w:tc>
        <w:tc>
          <w:tcPr>
            <w:tcW w:w="2636" w:type="dxa"/>
            <w:gridSpan w:val="3"/>
            <w:vAlign w:val="bottom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项目绩效指标表</w:t>
            </w:r>
          </w:p>
        </w:tc>
        <w:tc>
          <w:tcPr>
            <w:tcW w:w="146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Times New Roman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≥2次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已完成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服务对象</w:t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满意度指标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满足群众法律需求，帮助化解社会矛盾，维护社会稳定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/>
              </w:rPr>
            </w:pPr>
            <w:r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  <w:t>建立</w:t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涉法涉诉信访工作</w:t>
            </w:r>
            <w:r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  <w:t>平台，开展法律咨询、</w:t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信访案件化解</w:t>
            </w:r>
            <w:r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  <w:t>等工作</w:t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，不少于10次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已完成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满意度指标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</w:rPr>
            </w:pP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5.253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7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偏差大或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目标未完成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1.</w:t>
            </w: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经费</w:t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下拨时间短，每年12月初中央资金下拨，12月下旬关账，导致短时间内没有资金相应的司法救助案件数量。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2.政法各部门上报司法救助案件不及时，没有在短时间内上报相关材料</w:t>
            </w: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。</w:t>
            </w: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3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改进措施及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1.</w:t>
            </w: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进一步加强外出调研考察学习工作力度，确保取得实效。</w:t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2.加强司法救助工作统筹力度，使资源配置更合理。</w:t>
            </w:r>
          </w:p>
        </w:tc>
      </w:tr>
    </w:tbl>
    <w:p>
      <w:pPr>
        <w:widowControl/>
        <w:rPr>
          <w:rFonts w:ascii="仿宋_GB2312" w:hAnsi="宋体" w:eastAsia="仿宋_GB2312" w:cs="Times New Roman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>
      <w:pPr>
        <w:widowControl/>
        <w:ind w:firstLine="420" w:firstLineChars="200"/>
        <w:rPr>
          <w:rFonts w:ascii="仿宋_GB2312" w:hAnsi="宋体" w:eastAsia="仿宋_GB2312" w:cs="Times New Roman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>
      <w:pPr>
        <w:widowControl/>
        <w:ind w:firstLine="420" w:firstLineChars="200"/>
        <w:rPr>
          <w:rFonts w:ascii="仿宋_GB2312" w:hAnsi="宋体" w:eastAsia="仿宋_GB2312" w:cs="Times New Roman"/>
          <w:kern w:val="0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</w:rPr>
        <w:t>定量指标完成数汇总原则：绝对值直接累加计算，相对值按照资金额度加权平均计算。定量指标计分原则：正向指标（即目标值为≥</w:t>
      </w:r>
      <w:r>
        <w:rPr>
          <w:rFonts w:ascii="仿宋_GB2312" w:hAnsi="宋体" w:eastAsia="仿宋_GB2312" w:cs="仿宋_GB2312"/>
          <w:kern w:val="0"/>
        </w:rPr>
        <w:t>X,</w:t>
      </w:r>
      <w:r>
        <w:rPr>
          <w:rFonts w:hint="eastAsia" w:ascii="仿宋_GB2312" w:hAnsi="宋体" w:eastAsia="仿宋_GB2312" w:cs="仿宋_GB2312"/>
          <w:kern w:val="0"/>
        </w:rPr>
        <w:t>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*B/A</w:t>
      </w:r>
      <w:r>
        <w:rPr>
          <w:rFonts w:hint="eastAsia" w:ascii="仿宋_GB2312" w:hAnsi="宋体" w:eastAsia="仿宋_GB2312" w:cs="仿宋_GB2312"/>
          <w:kern w:val="0"/>
        </w:rPr>
        <w:t>），反向指标（即目标值为≤</w:t>
      </w:r>
      <w:r>
        <w:rPr>
          <w:rFonts w:ascii="仿宋_GB2312" w:hAnsi="宋体" w:eastAsia="仿宋_GB2312" w:cs="仿宋_GB2312"/>
          <w:kern w:val="0"/>
        </w:rPr>
        <w:t>X</w:t>
      </w:r>
      <w:r>
        <w:rPr>
          <w:rFonts w:hint="eastAsia" w:ascii="仿宋_GB2312" w:hAnsi="宋体" w:eastAsia="仿宋_GB2312" w:cs="仿宋_GB2312"/>
          <w:kern w:val="0"/>
        </w:rPr>
        <w:t>，得分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*A/B）</w:t>
      </w:r>
      <w:r>
        <w:rPr>
          <w:rFonts w:hint="eastAsia" w:ascii="仿宋_GB2312" w:hAnsi="宋体" w:eastAsia="仿宋_GB2312" w:cs="仿宋_GB2312"/>
          <w:kern w:val="0"/>
        </w:rPr>
        <w:t>，得分不得突破权重总额。定量指标先汇总完成数，再计算得分。</w:t>
      </w:r>
    </w:p>
    <w:p>
      <w:pPr>
        <w:widowControl/>
        <w:ind w:firstLine="420" w:firstLineChars="200"/>
        <w:rPr>
          <w:rFonts w:ascii="仿宋_GB2312" w:hAnsi="宋体" w:eastAsia="仿宋_GB2312" w:cs="Times New Roman"/>
          <w:kern w:val="0"/>
        </w:rPr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</w:rPr>
        <w:t>定性指标计分原则：达成预期指标、部分达成预期指标并具有一定效果、未达成预期指标且效果较差三档，分别按照该指标对应分值区间</w:t>
      </w:r>
      <w:r>
        <w:rPr>
          <w:rFonts w:ascii="仿宋_GB2312" w:hAnsi="宋体" w:eastAsia="仿宋_GB2312" w:cs="仿宋_GB2312"/>
          <w:kern w:val="0"/>
        </w:rPr>
        <w:t>100-80%</w:t>
      </w:r>
      <w:r>
        <w:rPr>
          <w:rFonts w:hint="eastAsia" w:ascii="仿宋_GB2312" w:hAnsi="宋体" w:eastAsia="仿宋_GB2312" w:cs="仿宋_GB2312"/>
          <w:kern w:val="0"/>
        </w:rPr>
        <w:t>（含</w:t>
      </w:r>
      <w:r>
        <w:rPr>
          <w:rFonts w:ascii="仿宋_GB2312" w:hAnsi="宋体" w:eastAsia="仿宋_GB2312" w:cs="仿宋_GB2312"/>
          <w:kern w:val="0"/>
        </w:rPr>
        <w:t>80%</w:t>
      </w:r>
      <w:r>
        <w:rPr>
          <w:rFonts w:hint="eastAsia" w:ascii="仿宋_GB2312" w:hAnsi="宋体" w:eastAsia="仿宋_GB2312" w:cs="仿宋_GB2312"/>
          <w:kern w:val="0"/>
        </w:rPr>
        <w:t>）、</w:t>
      </w:r>
      <w:r>
        <w:rPr>
          <w:rFonts w:ascii="仿宋_GB2312" w:hAnsi="宋体" w:eastAsia="仿宋_GB2312" w:cs="仿宋_GB2312"/>
          <w:kern w:val="0"/>
        </w:rPr>
        <w:t>80-50%</w:t>
      </w:r>
      <w:r>
        <w:rPr>
          <w:rFonts w:hint="eastAsia" w:ascii="仿宋_GB2312" w:hAnsi="宋体" w:eastAsia="仿宋_GB2312" w:cs="仿宋_GB2312"/>
          <w:kern w:val="0"/>
        </w:rPr>
        <w:t>（含</w:t>
      </w:r>
      <w:r>
        <w:rPr>
          <w:rFonts w:ascii="仿宋_GB2312" w:hAnsi="宋体" w:eastAsia="仿宋_GB2312" w:cs="仿宋_GB2312"/>
          <w:kern w:val="0"/>
        </w:rPr>
        <w:t>50%</w:t>
      </w:r>
      <w:r>
        <w:rPr>
          <w:rFonts w:hint="eastAsia" w:ascii="仿宋_GB2312" w:hAnsi="宋体" w:eastAsia="仿宋_GB2312" w:cs="仿宋_GB2312"/>
          <w:kern w:val="0"/>
        </w:rPr>
        <w:t>）、</w:t>
      </w:r>
      <w:r>
        <w:rPr>
          <w:rFonts w:ascii="仿宋_GB2312" w:hAnsi="宋体" w:eastAsia="仿宋_GB2312" w:cs="仿宋_GB2312"/>
          <w:kern w:val="0"/>
        </w:rPr>
        <w:t>50-0%</w:t>
      </w:r>
      <w:r>
        <w:rPr>
          <w:rFonts w:hint="eastAsia" w:ascii="仿宋_GB2312" w:hAnsi="宋体" w:eastAsia="仿宋_GB2312" w:cs="仿宋_GB2312"/>
          <w:kern w:val="0"/>
        </w:rPr>
        <w:t>合理确定分值。汇总时，以资金额度为权重，对分值进行加权平均计算。</w:t>
      </w:r>
    </w:p>
    <w:p>
      <w:pPr>
        <w:rPr>
          <w:rFonts w:hint="eastAsia" w:ascii="仿宋_GB2312" w:hAnsi="宋体" w:eastAsia="仿宋_GB2312" w:cs="仿宋_GB2312"/>
          <w:kern w:val="0"/>
          <w:sz w:val="20"/>
          <w:szCs w:val="20"/>
        </w:rPr>
        <w:sectPr>
          <w:footerReference r:id="rId3" w:type="default"/>
          <w:footerReference r:id="rId4" w:type="even"/>
          <w:pgSz w:w="11906" w:h="16838"/>
          <w:pgMar w:top="1985" w:right="1588" w:bottom="1814" w:left="1588" w:header="851" w:footer="1247" w:gutter="0"/>
          <w:pgNumType w:fmt="decimal"/>
          <w:cols w:space="720" w:num="1"/>
          <w:docGrid w:type="lines" w:linePitch="312" w:charSpace="0"/>
        </w:sectPr>
      </w:pPr>
      <w:r>
        <w:rPr>
          <w:rFonts w:ascii="仿宋_GB2312" w:hAnsi="宋体" w:eastAsia="仿宋_GB2312" w:cs="仿宋_GB2312"/>
          <w:kern w:val="0"/>
        </w:rPr>
        <w:t>4.</w:t>
      </w:r>
      <w:r>
        <w:rPr>
          <w:rFonts w:hint="eastAsia" w:ascii="仿宋_GB2312" w:hAnsi="宋体" w:eastAsia="仿宋_GB2312" w:cs="仿宋_GB2312"/>
          <w:kern w:val="0"/>
        </w:rPr>
        <w:t>基于经济性和必要性等因素考虑，满意度指标暂可不作为必评指标。</w:t>
      </w:r>
    </w:p>
    <w:p/>
    <w:sectPr>
      <w:footerReference r:id="rId5" w:type="default"/>
      <w:pgSz w:w="11906" w:h="16838"/>
      <w:pgMar w:top="1440" w:right="1803" w:bottom="1440" w:left="180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hint="eastAsia" w:ascii="Times New Roman" w:hAnsi="Times New Roman"/>
        <w:sz w:val="24"/>
        <w:szCs w:val="22"/>
      </w:rPr>
    </w:pPr>
    <w:r>
      <w:rPr>
        <w:sz w:val="24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Times New Roman" w:hAnsi="Times New Roman"/>
        <w:sz w:val="24"/>
      </w:rPr>
      <w:id w:val="1192118955"/>
    </w:sdtPr>
    <w:sdtEndPr>
      <w:rPr>
        <w:rFonts w:ascii="Times New Roman" w:hAnsi="Times New Roman"/>
        <w:sz w:val="24"/>
      </w:rPr>
    </w:sdtEndPr>
    <w:sdtContent>
      <w:p>
        <w:pPr>
          <w:pStyle w:val="4"/>
          <w:rPr>
            <w:rFonts w:hint="eastAsia" w:ascii="Times New Roman" w:hAnsi="Times New Roman"/>
            <w:sz w:val="24"/>
            <w:szCs w:val="22"/>
          </w:rPr>
        </w:pPr>
        <w:r>
          <w:rPr>
            <w:rFonts w:ascii="Times New Roman" w:hAnsi="Times New Roman"/>
            <w:sz w:val="24"/>
          </w:rPr>
          <w:t xml:space="preserve">— </w:t>
        </w:r>
        <w:r>
          <w:rPr>
            <w:rFonts w:ascii="Times New Roman" w:hAnsi="Times New Roman"/>
            <w:sz w:val="24"/>
          </w:rPr>
          <w:fldChar w:fldCharType="begin"/>
        </w:r>
        <w:r>
          <w:rPr>
            <w:rFonts w:ascii="Times New Roman" w:hAnsi="Times New Roman"/>
            <w:sz w:val="24"/>
          </w:rPr>
          <w:instrText xml:space="preserve"> PAGE   \* MERGEFORMAT </w:instrText>
        </w:r>
        <w:r>
          <w:rPr>
            <w:rFonts w:ascii="Times New Roman" w:hAnsi="Times New Roman"/>
            <w:sz w:val="24"/>
          </w:rPr>
          <w:fldChar w:fldCharType="separate"/>
        </w:r>
        <w:r>
          <w:rPr>
            <w:rFonts w:ascii="Times New Roman" w:hAnsi="Times New Roman"/>
            <w:sz w:val="24"/>
          </w:rPr>
          <w:t>1</w:t>
        </w:r>
        <w:r>
          <w:rPr>
            <w:rFonts w:ascii="Times New Roman" w:hAnsi="Times New Roman"/>
            <w:sz w:val="24"/>
          </w:rPr>
          <w:fldChar w:fldCharType="end"/>
        </w:r>
        <w:r>
          <w:rPr>
            <w:rFonts w:ascii="Times New Roman" w:hAnsi="Times New Roman"/>
            <w:sz w:val="24"/>
          </w:rPr>
          <w:t xml:space="preserve"> —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Times New Roman" w:hAnsi="Times New Roman"/>
        <w:sz w:val="24"/>
        <w:szCs w:val="22"/>
      </w:rPr>
    </w:pPr>
    <w:r>
      <w:rPr>
        <w:sz w:val="24"/>
      </w:rPr>
      <w:pict>
        <v:shape id="_x0000_s4098" o:spid="_x0000_s4098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jQ4NDA4ZDc2NTliMTMyOGEzOTFiN2MyZGZjODhjNGQifQ=="/>
  </w:docVars>
  <w:rsids>
    <w:rsidRoot w:val="298F1008"/>
    <w:rsid w:val="00530292"/>
    <w:rsid w:val="00682004"/>
    <w:rsid w:val="006B4EF1"/>
    <w:rsid w:val="00947879"/>
    <w:rsid w:val="009D144D"/>
    <w:rsid w:val="00B07D07"/>
    <w:rsid w:val="00DE3858"/>
    <w:rsid w:val="00DF1AD9"/>
    <w:rsid w:val="00ED35D3"/>
    <w:rsid w:val="12DA3AA2"/>
    <w:rsid w:val="1A054967"/>
    <w:rsid w:val="20227BBE"/>
    <w:rsid w:val="27EE6E3B"/>
    <w:rsid w:val="298F1008"/>
    <w:rsid w:val="2FDF613F"/>
    <w:rsid w:val="3CDB668B"/>
    <w:rsid w:val="4503715C"/>
    <w:rsid w:val="45D76CF1"/>
    <w:rsid w:val="5ADC648A"/>
    <w:rsid w:val="69CD6680"/>
    <w:rsid w:val="6B244F62"/>
    <w:rsid w:val="741B2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 textRotate="1"/>
    <customShpInfo spid="_x0000_s4098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1629</Words>
  <Characters>1742</Characters>
  <Lines>15</Lines>
  <Paragraphs>4</Paragraphs>
  <TotalTime>2</TotalTime>
  <ScaleCrop>false</ScaleCrop>
  <LinksUpToDate>false</LinksUpToDate>
  <CharactersWithSpaces>1799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2023-04-21T08:24:00Z</dcterms:created>
  <dc:creator>活着的滋味</dc:creator>
  <cp:lastModifiedBy>Administrator</cp:lastModifiedBy>
  <cp:lastPrinted>2023-06-19T08:49:00Z</cp:lastPrinted>
  <dcterms:modified xsi:type="dcterms:W3CDTF">2023-06-19T09:01:43Z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E47B8D2DFFA24B509E3BCFB71BBB22E4_13</vt:lpwstr>
  </property>
</Properties>
</file>