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hint="eastAsia" w:ascii="方正小标宋_GBK" w:hAnsi="仿宋" w:eastAsia="方正小标宋_GBK" w:cs="方正小标宋_GBK"/>
          <w:sz w:val="36"/>
          <w:szCs w:val="36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2022年度市直行业部门调处中心专项工作经费项目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部门整体绩效自评得分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  <w:lang w:val="en-US" w:eastAsia="zh-CN"/>
        </w:rPr>
        <w:t>17.179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执行率完成情况为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85.9%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各平台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运行经费、补助经费、调解员补贴经费和专家咨询费等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楚商联合会人民调解委员会、保险纠纷调解委员会经费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经费使用不平衡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楚商调解委员会和保险调解委员会经费需进一步统筹考虑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部分办公耗材未及时更新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（四）下一步拟改进措施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下一步拟改进措施：对个别项目经费的绩效考核指标重新进行梳理，使指标设置更合理、更能反映项目的实际使用情况；适当调整定性指标的比例，增加数量、质量等可直观衡量的指标；提高考核结果在指导财务工作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的应用。</w:t>
      </w:r>
    </w:p>
    <w:p>
      <w:pPr>
        <w:ind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加强对各调解平台的考核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无</w:t>
      </w:r>
    </w:p>
    <w:p>
      <w:pPr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（一）基本情况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维稳科资料汇编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ascii="仿宋_GB2312" w:hAnsi="仿宋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工作经费资料台账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（二）部门自评工作开展情况</w:t>
      </w:r>
    </w:p>
    <w:p>
      <w:pPr>
        <w:ind w:firstLine="640" w:firstLineChars="200"/>
        <w:outlineLvl w:val="0"/>
        <w:rPr>
          <w:rFonts w:hint="eastAsia" w:ascii="仿宋_GB2312" w:hAnsi="楷体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楷体_GB2312" w:eastAsia="仿宋_GB2312" w:cs="仿宋_GB2312"/>
          <w:color w:val="auto"/>
          <w:sz w:val="32"/>
          <w:szCs w:val="32"/>
          <w:lang w:eastAsia="zh-CN"/>
        </w:rPr>
        <w:t>维稳科、综治科对经费使用情况进行梳理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预算执行率为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  <w:lang w:val="en-US" w:eastAsia="zh-CN"/>
        </w:rPr>
        <w:t>85.9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）产出指标完成情况分析。2022年度产出指标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均已完成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）效益指标完成情况分析。2022年度效益目标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已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完成。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（3）满意度指标完成情况分析。逐步建立1+N社会矛盾纠纷预防化解机制，市委政法委将根据实际需要不断扩大1+N的范畴。</w:t>
      </w:r>
    </w:p>
    <w:p>
      <w:pPr>
        <w:ind w:firstLine="640" w:firstLineChars="200"/>
        <w:rPr>
          <w:rFonts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上年度部门预算经费执行率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尚可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。本年度将按照中央、省级相关要求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在编制本年度工作预算工作中，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更加细化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，合理编制、使用工作专项经费，并按标准执行。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（五）其他佐证材料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无。</w:t>
      </w:r>
    </w:p>
    <w:p>
      <w:pPr>
        <w:widowControl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pStyle w:val="2"/>
        <w:rPr>
          <w:rFonts w:ascii="仿宋_GB2312" w:hAnsi="宋体" w:eastAsia="仿宋_GB2312" w:cs="仿宋_GB2312"/>
          <w:kern w:val="0"/>
          <w:sz w:val="20"/>
          <w:szCs w:val="20"/>
        </w:rPr>
      </w:pPr>
      <w:bookmarkStart w:id="0" w:name="_GoBack"/>
      <w:bookmarkEnd w:id="0"/>
    </w:p>
    <w:p>
      <w:pPr>
        <w:widowControl/>
        <w:rPr>
          <w:rFonts w:ascii="仿宋_GB2312" w:hAnsi="宋体" w:eastAsia="仿宋_GB2312" w:cs="仿宋_GB2312"/>
          <w:kern w:val="0"/>
          <w:sz w:val="20"/>
          <w:szCs w:val="20"/>
        </w:rPr>
      </w:pPr>
    </w:p>
    <w:p>
      <w:pPr>
        <w:rPr>
          <w:rFonts w:ascii="宋体" w:hAnsi="宋体" w:eastAsia="宋体" w:cs="宋体"/>
          <w:kern w:val="0"/>
          <w:sz w:val="30"/>
          <w:szCs w:val="30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  <w:t>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年度市直行业部门调处中心专项工作经费项目自评表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维稳科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2023年6月6日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市直行业部门调处中心专项工作经费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维稳科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78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67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85.9%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17.179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调解各类民事纠纷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调解各类民事纠纷不少于1500起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法律援助案件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法律援助案件结案率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群体性事件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有效预防和减少群体性事件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挽回经济损失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为当事人挽回经济损失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赴省进京上访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杜绝赴省进京上访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bidi w:val="0"/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各行业矛盾纠纷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及时化解各行业矛盾纠纷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满足群众矛盾纠纷调解需求，帮助化解社会矛盾，维护社会稳定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建立健全“1+N”矛盾纠纷调处平台，调处化解各类矛盾纠纷。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17.179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经费使用不平衡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楚商调解委员会和保险调解委员会经费需进一步统筹考虑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部分办公耗材未及时更新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Times New Roman"/>
                <w:kern w:val="0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下一步拟改进措施：对个别项目经费的绩效考核指标重新进行梳理，使指标设置更合理、更能反映项目的实际使用情况；适当调整定性指标的比例，增加数量、质量等可直观衡量的指标；提高考核结果在指导财务工作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中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的应用。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Times New Roman"/>
                <w:kern w:val="0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加强对各调解平台的考核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  <w:sz w:val="20"/>
          <w:szCs w:val="20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/>
    <w:sectPr>
      <w:footerReference r:id="rId5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4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185D651F"/>
    <w:rsid w:val="29252A31"/>
    <w:rsid w:val="298F1008"/>
    <w:rsid w:val="2FDF613F"/>
    <w:rsid w:val="40695FDE"/>
    <w:rsid w:val="40FC3E39"/>
    <w:rsid w:val="45D76CF1"/>
    <w:rsid w:val="4DE4023E"/>
    <w:rsid w:val="5ADC648A"/>
    <w:rsid w:val="69CD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1648</Words>
  <Characters>1762</Characters>
  <Lines>15</Lines>
  <Paragraphs>4</Paragraphs>
  <TotalTime>1</TotalTime>
  <ScaleCrop>false</ScaleCrop>
  <LinksUpToDate>false</LinksUpToDate>
  <CharactersWithSpaces>1817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2023-06-19T08:47:00Z</cp:lastPrinted>
  <dcterms:modified xsi:type="dcterms:W3CDTF">2023-06-19T09:00:52Z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