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spacing w:line="500" w:lineRule="exact"/>
        <w:rPr>
          <w:rFonts w:ascii="方正小标宋简体" w:eastAsia="方正小标宋简体" w:cs="Times New Roman"/>
        </w:rPr>
      </w:pP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2022年度市</w:t>
      </w:r>
      <w:r>
        <w:rPr>
          <w:rFonts w:hint="eastAsia" w:ascii="方正小标宋_GBK" w:hAnsi="仿宋" w:eastAsia="方正小标宋_GBK" w:cs="方正小标宋_GBK"/>
          <w:sz w:val="36"/>
          <w:szCs w:val="36"/>
          <w:lang w:eastAsia="zh-CN"/>
        </w:rPr>
        <w:t>法学会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经费项目绩效自评结果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部门整体绩效自评得分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  <w:lang w:val="en-US" w:eastAsia="zh-CN"/>
        </w:rPr>
        <w:t>15.984</w:t>
      </w:r>
      <w:r>
        <w:rPr>
          <w:rFonts w:hint="eastAsia" w:ascii="楷体_GB2312" w:hAnsi="楷体" w:eastAsia="楷体_GB2312" w:cs="Times New Roman"/>
          <w:color w:val="auto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执行率完成情况为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79.92%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小板凳法治故事会经费、组织会员活动费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外出调研考察、法治文化建设、办公耗材等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（三）存在的问题和原因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经费使用不平衡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外出调研考察学习方面要需进一步加强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法治文化建设经费使用不均衡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3.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法学会工作力量配备不足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（四）下一步拟改进措施</w:t>
      </w:r>
    </w:p>
    <w:p>
      <w:pPr>
        <w:ind w:left="638" w:leftChars="304" w:firstLine="0" w:firstLineChars="0"/>
        <w:rPr>
          <w:rFonts w:hint="eastAsia"/>
          <w:color w:val="auto"/>
          <w:lang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进一步加强外出调研考察学习工作力度，确保取得实效。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2.开展实地调研，加强农村法治文化建设工作力度，使资源配置更合理。</w:t>
      </w:r>
    </w:p>
    <w:p>
      <w:pPr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2022年度法学会工作资料汇编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组织法治科、执法监督科等科室对经费使用情况进行梳理。</w:t>
      </w:r>
    </w:p>
    <w:p>
      <w:pPr>
        <w:ind w:firstLine="640" w:firstLineChars="200"/>
        <w:rPr>
          <w:rFonts w:ascii="楷体_GB2312" w:hAnsi="楷体" w:eastAsia="楷体_GB2312" w:cs="Times New Roman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预算执行率为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79.92%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auto"/>
          <w:sz w:val="32"/>
          <w:szCs w:val="32"/>
        </w:rPr>
      </w:pPr>
      <w:r>
        <w:rPr>
          <w:rFonts w:ascii="仿宋_GB2312" w:hAnsi="楷体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color w:val="auto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）产出指标完成情况分析。2022年度产出指标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均已完成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）效益指标完成情况分析。2022年度效益目标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已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完成。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（3）满意度指标完成情况分析。2022年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val="en-US" w:eastAsia="zh-CN"/>
        </w:rPr>
        <w:t>建立服务平台，并组织开展法律咨询、法律援助、矛盾调解等工作。</w:t>
      </w:r>
    </w:p>
    <w:p>
      <w:pPr>
        <w:ind w:firstLine="640" w:firstLineChars="200"/>
        <w:rPr>
          <w:rFonts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上年度部门预算经费执行率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尚可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。本年度将按照中央、省级相关要求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在编制本年度工作预算工作中，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更加细化</w:t>
      </w: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，合理编制、使用工作专项经费，并按标准执行。</w:t>
      </w:r>
    </w:p>
    <w:p>
      <w:pPr>
        <w:ind w:firstLine="640" w:firstLineChars="200"/>
        <w:rPr>
          <w:rFonts w:hint="eastAsia" w:ascii="楷体_GB2312" w:hAnsi="楷体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" w:eastAsia="楷体_GB2312" w:cs="楷体_GB2312"/>
          <w:color w:val="auto"/>
          <w:sz w:val="32"/>
          <w:szCs w:val="32"/>
        </w:rPr>
        <w:t>（五）其他佐证材料</w:t>
      </w:r>
    </w:p>
    <w:p>
      <w:pPr>
        <w:ind w:firstLine="640" w:firstLineChars="200"/>
        <w:rPr>
          <w:rFonts w:ascii="仿宋_GB2312" w:hAnsi="仿宋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sz w:val="32"/>
          <w:szCs w:val="32"/>
        </w:rPr>
        <w:t>无。</w:t>
      </w:r>
    </w:p>
    <w:p>
      <w:pPr>
        <w:widowControl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p>
      <w:pPr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附件2.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年度市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法学会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市法学会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2023年6月6日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市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法学会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市法学会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25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19.98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79.92%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15.984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推进五个实践基地建设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举办研讨会、报告会、发展会员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围绕法治保障、法律实施出现的热点、难点问题开展调查研究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满足群众法律需求，帮助化解社会矛盾，维护社会稳定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培育法治土壤，创造法治环境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bidi w:val="0"/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项目绩效指标表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服务对象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满足群众法律需求，帮助化解社会矛盾，维护社会稳定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建立服务平台，开展法律咨询、法律援助、矛盾调解等工作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，不少于10次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15.984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经费使用不平衡。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1.外出调研考察学习方面要需进一步加强。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2.法治文化建设经费使用不均衡。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3.法学会工作力量配备不足。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进一步加强外出调研考察学习工作力度，确保取得实效。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2.开展实地调研，加强农村法治文化建设工作力度，使资源配置更合理。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  <w:sz w:val="20"/>
          <w:szCs w:val="20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/>
    <w:sectPr>
      <w:footerReference r:id="rId5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4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12DA3AA2"/>
    <w:rsid w:val="298F1008"/>
    <w:rsid w:val="2FDF613F"/>
    <w:rsid w:val="3CDB668B"/>
    <w:rsid w:val="4503715C"/>
    <w:rsid w:val="45D76CF1"/>
    <w:rsid w:val="49297438"/>
    <w:rsid w:val="496D4A41"/>
    <w:rsid w:val="5ADC648A"/>
    <w:rsid w:val="69CD6680"/>
    <w:rsid w:val="6B244F62"/>
    <w:rsid w:val="741B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1528</Words>
  <Characters>1637</Characters>
  <Lines>15</Lines>
  <Paragraphs>4</Paragraphs>
  <TotalTime>1</TotalTime>
  <ScaleCrop>false</ScaleCrop>
  <LinksUpToDate>false</LinksUpToDate>
  <CharactersWithSpaces>1691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2023-06-19T08:45:48Z</cp:lastPrinted>
  <dcterms:modified xsi:type="dcterms:W3CDTF">2023-06-19T09:00:08Z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