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附件1：</w:t>
      </w:r>
    </w:p>
    <w:p>
      <w:pPr>
        <w:spacing w:line="500" w:lineRule="exact"/>
        <w:rPr>
          <w:rFonts w:ascii="方正小标宋简体" w:eastAsia="方正小标宋简体" w:cs="Times New Roman"/>
        </w:rPr>
      </w:pPr>
    </w:p>
    <w:p>
      <w:pPr>
        <w:jc w:val="center"/>
        <w:rPr>
          <w:rFonts w:hint="eastAsia" w:ascii="方正小标宋_GBK" w:hAnsi="仿宋" w:eastAsia="方正小标宋_GBK" w:cs="方正小标宋_GBK"/>
          <w:sz w:val="36"/>
          <w:szCs w:val="36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2022年度市维稳救助及司法救助资金经费项目</w:t>
      </w: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一、自评结论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（一）部门整体绩效自评得分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Times New Roman"/>
          <w:color w:val="auto"/>
          <w:sz w:val="32"/>
          <w:szCs w:val="32"/>
        </w:rPr>
        <w:t>部门整体绩效自评得分</w:t>
      </w:r>
      <w:r>
        <w:rPr>
          <w:rFonts w:hint="eastAsia" w:ascii="楷体_GB2312" w:hAnsi="楷体" w:eastAsia="楷体_GB2312" w:cs="Times New Roman"/>
          <w:color w:val="auto"/>
          <w:sz w:val="32"/>
          <w:szCs w:val="32"/>
          <w:lang w:val="en-US" w:eastAsia="zh-CN"/>
        </w:rPr>
        <w:t>10.15</w:t>
      </w:r>
      <w:r>
        <w:rPr>
          <w:rFonts w:hint="eastAsia" w:ascii="楷体_GB2312" w:hAnsi="楷体" w:eastAsia="楷体_GB2312" w:cs="Times New Roman"/>
          <w:color w:val="auto"/>
          <w:sz w:val="32"/>
          <w:szCs w:val="32"/>
        </w:rPr>
        <w:t>分。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执行率完成情况为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50.14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%。</w:t>
      </w:r>
    </w:p>
    <w:p>
      <w:pPr>
        <w:ind w:firstLine="640" w:firstLineChars="200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完成的绩效目标有：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维稳救助资金基本完成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3.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未完成的绩效目标有：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司法救助资金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使用率不高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（三）存在的问题和原因</w:t>
      </w:r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经费使用率偏低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  <w:bookmarkStart w:id="0" w:name="_GoBack"/>
      <w:bookmarkEnd w:id="0"/>
    </w:p>
    <w:p>
      <w:pPr>
        <w:ind w:firstLine="640" w:firstLineChars="200"/>
        <w:rPr>
          <w:rFonts w:hint="default" w:ascii="仿宋" w:hAnsi="仿宋" w:eastAsia="仿宋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司法救助资金因有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70万为上级转移支付，故使用率不高。</w:t>
      </w:r>
    </w:p>
    <w:p>
      <w:pPr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部分办公耗材未及时更新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下一步拟改进措施：对个别项目经费的绩效考核指标重新进行梳理，使指标设置更合理、更能反映项目的实际使用情况；适当调整定性指标的比例，增加数量、质量等可直观衡量的指标；提高考核结果在指导财务工作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中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的应用。</w:t>
      </w:r>
    </w:p>
    <w:p>
      <w:pPr>
        <w:ind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合理利用上级转移支付资金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无</w:t>
      </w:r>
    </w:p>
    <w:p>
      <w:pPr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（一）基本情况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维稳救助、司法救助资料汇编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ascii="仿宋_GB2312" w:hAnsi="仿宋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维稳科、执法监督科资料台账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（二）部门自评工作开展情况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维稳科、执法监督科碰头对经费使用情况进行梳理。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（三）绩效目标完成情况分析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auto"/>
          <w:sz w:val="32"/>
          <w:szCs w:val="32"/>
        </w:rPr>
      </w:pPr>
      <w:r>
        <w:rPr>
          <w:rFonts w:ascii="仿宋_GB2312" w:hAnsi="楷体_GB2312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预算执行率为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  <w:lang w:val="en-US" w:eastAsia="zh-CN"/>
        </w:rPr>
        <w:t>50.14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auto"/>
          <w:sz w:val="32"/>
          <w:szCs w:val="32"/>
        </w:rPr>
      </w:pPr>
      <w:r>
        <w:rPr>
          <w:rFonts w:ascii="仿宋_GB2312" w:hAnsi="楷体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绩效目标完成情况分析（包括完成情况和偏离原因等）。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）产出指标完成情况分析。2022年度产出指标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均已完成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）效益指标完成情况分析。2022年度效益目标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已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完成。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（3）满意度指标完成情况分析。2022年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经济健康有序发展，</w:t>
      </w:r>
    </w:p>
    <w:p>
      <w:pP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全市社会大局稳定，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被救助的维稳对象停访息诉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比例达到指标。</w:t>
      </w:r>
    </w:p>
    <w:p>
      <w:pPr>
        <w:ind w:firstLine="640" w:firstLineChars="200"/>
        <w:rPr>
          <w:rFonts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上年度部门预算经费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偏低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。本年度将按照中央、省级相关要求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在编制本年度工作预算工作中，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更加细化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，合理编制、使用工作专项经费，并按标准执行。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（五）其他佐证材料</w:t>
      </w:r>
    </w:p>
    <w:p>
      <w:pPr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无。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.</w:t>
      </w:r>
    </w:p>
    <w:p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年度维稳救助及司法救助资金经费项目自评表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维稳科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、执法监督科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2023年6月6日</w:t>
      </w:r>
    </w:p>
    <w:tbl>
      <w:tblPr>
        <w:tblStyle w:val="6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市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维稳救助及司法救助资金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中共鄂州市委政法委员会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维稳科、执法监督科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170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86.26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50.74%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维稳、司法救助案件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维稳、司法救助40件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举办培训会、学习会议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每年举办2场业务培训。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维稳、司法救助案件质量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按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依据划分救助等级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经济效益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经济健康有序发展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以维稳、司法救助维稳定保和谐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促进社会和谐稳定，维护司法权威和公信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息诉罢访，群众满意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bidi w:val="0"/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被救助的维稳对象满意率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提升救助的维稳对象满意率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群众满意度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涉法涉诉案件减少，满意度持续提升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经费使用率偏低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司法救助资金因有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70万为上级转移支付，故使用率不高。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部分办公耗材未及时更新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Times New Roman"/>
                <w:kern w:val="0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下一步拟改进措施：对个别项目经费的绩效考核指标重新进行梳理，使指标设置更合理、更能反映项目的实际使用情况；适当调整定性指标的比例，增加数量、质量等可直观衡量的指标；提高考核结果在指导财务工作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中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的应用。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Times New Roman"/>
                <w:kern w:val="0"/>
              </w:rPr>
              <w:t>2.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合理利用上级转移支付资金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pPr>
        <w:rPr>
          <w:rFonts w:hint="eastAsia" w:ascii="仿宋_GB2312" w:hAnsi="宋体" w:eastAsia="仿宋_GB2312" w:cs="仿宋_GB2312"/>
          <w:kern w:val="0"/>
          <w:sz w:val="20"/>
          <w:szCs w:val="20"/>
        </w:rPr>
        <w:sectPr>
          <w:footerReference r:id="rId3" w:type="default"/>
          <w:footerReference r:id="rId4" w:type="even"/>
          <w:pgSz w:w="11906" w:h="16838"/>
          <w:pgMar w:top="1985" w:right="1588" w:bottom="1814" w:left="1588" w:header="851" w:footer="1247" w:gutter="0"/>
          <w:pgNumType w:fmt="decimal"/>
          <w:cols w:space="720" w:num="1"/>
          <w:docGrid w:type="lines" w:linePitch="312" w:charSpace="0"/>
        </w:sect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p/>
    <w:sectPr>
      <w:footerReference r:id="rId5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/>
        <w:sz w:val="24"/>
      </w:rPr>
      <w:id w:val="1192118955"/>
    </w:sdtPr>
    <w:sdtEndPr>
      <w:rPr>
        <w:rFonts w:ascii="Times New Roman" w:hAnsi="Times New Roman"/>
        <w:sz w:val="24"/>
      </w:rPr>
    </w:sdtEndPr>
    <w:sdtContent>
      <w:p>
        <w:pPr>
          <w:pStyle w:val="4"/>
          <w:rPr>
            <w:rFonts w:hint="eastAsia" w:ascii="Times New Roman" w:hAnsi="Times New Roman"/>
            <w:sz w:val="24"/>
            <w:szCs w:val="22"/>
          </w:rPr>
        </w:pPr>
        <w:r>
          <w:rPr>
            <w:rFonts w:ascii="Times New Roman" w:hAnsi="Times New Roman"/>
            <w:sz w:val="24"/>
          </w:rPr>
          <w:t xml:space="preserve">— 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 PAGE   \* MERGEFORMAT 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1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4"/>
        <w:szCs w:val="22"/>
      </w:rPr>
    </w:pPr>
    <w:r>
      <w:rPr>
        <w:sz w:val="24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Q4NDA4ZDc2NTliMTMyOGEzOTFiN2MyZGZjODhjNGQifQ=="/>
  </w:docVars>
  <w:rsids>
    <w:rsidRoot w:val="298F1008"/>
    <w:rsid w:val="00530292"/>
    <w:rsid w:val="00682004"/>
    <w:rsid w:val="006B4EF1"/>
    <w:rsid w:val="00947879"/>
    <w:rsid w:val="009D144D"/>
    <w:rsid w:val="00B07D07"/>
    <w:rsid w:val="00DE3858"/>
    <w:rsid w:val="00DF1AD9"/>
    <w:rsid w:val="00ED35D3"/>
    <w:rsid w:val="2554730A"/>
    <w:rsid w:val="298F1008"/>
    <w:rsid w:val="2FDF613F"/>
    <w:rsid w:val="45A44C7D"/>
    <w:rsid w:val="45D76CF1"/>
    <w:rsid w:val="54EF56DE"/>
    <w:rsid w:val="5ADC648A"/>
    <w:rsid w:val="62D86439"/>
    <w:rsid w:val="69CD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1636</Words>
  <Characters>1741</Characters>
  <Lines>15</Lines>
  <Paragraphs>4</Paragraphs>
  <TotalTime>0</TotalTime>
  <ScaleCrop>false</ScaleCrop>
  <LinksUpToDate>false</LinksUpToDate>
  <CharactersWithSpaces>1789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2023-06-19T08:47:31Z</cp:lastPrinted>
  <dcterms:modified xsi:type="dcterms:W3CDTF">2023-06-19T09:00:06Z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