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eastAsia="zh-CN"/>
        </w:rPr>
        <w:t>件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：</w:t>
      </w:r>
    </w:p>
    <w:p>
      <w:pPr>
        <w:spacing w:line="500" w:lineRule="exact"/>
        <w:rPr>
          <w:rFonts w:ascii="方正小标宋简体" w:eastAsia="方正小标宋简体" w:cs="Times New Roman"/>
        </w:rPr>
      </w:pPr>
    </w:p>
    <w:p>
      <w:pPr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方正小标宋_GBK" w:hAnsi="仿宋" w:eastAsia="方正小标宋_GBK" w:cs="方正小标宋_GBK"/>
          <w:sz w:val="36"/>
          <w:szCs w:val="36"/>
          <w:lang w:val="en-US" w:eastAsia="zh-CN"/>
        </w:rPr>
        <w:t>2022</w:t>
      </w:r>
      <w:r>
        <w:rPr>
          <w:rFonts w:hint="eastAsia" w:ascii="方正小标宋_GBK" w:hAnsi="仿宋" w:eastAsia="方正小标宋_GBK" w:cs="方正小标宋_GBK"/>
          <w:sz w:val="36"/>
          <w:szCs w:val="36"/>
        </w:rPr>
        <w:t>年度市社会治安综合治理专项工作经费</w:t>
      </w:r>
      <w:r>
        <w:rPr>
          <w:rFonts w:hint="eastAsia" w:ascii="方正小标宋_GBK" w:hAnsi="仿宋" w:eastAsia="方正小标宋_GBK" w:cs="方正小标宋_GBK"/>
          <w:sz w:val="36"/>
          <w:szCs w:val="36"/>
          <w:lang w:eastAsia="zh-CN"/>
        </w:rPr>
        <w:t>项目</w:t>
      </w:r>
      <w:r>
        <w:rPr>
          <w:rFonts w:hint="eastAsia" w:ascii="方正小标宋_GBK" w:hAnsi="仿宋" w:eastAsia="方正小标宋_GBK" w:cs="方正小标宋_GBK"/>
          <w:sz w:val="36"/>
          <w:szCs w:val="36"/>
        </w:rPr>
        <w:t>绩效自评结果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一、自评结论</w:t>
      </w:r>
    </w:p>
    <w:p>
      <w:pPr>
        <w:ind w:firstLine="640" w:firstLineChars="200"/>
        <w:rPr>
          <w:rFonts w:hint="default" w:ascii="楷体_GB2312" w:hAnsi="楷体" w:eastAsia="楷体_GB2312" w:cs="Times New Roman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（一）部门整体绩效自评得分</w:t>
      </w:r>
      <w:r>
        <w:rPr>
          <w:rFonts w:hint="eastAsia" w:ascii="楷体_GB2312" w:hAnsi="楷体" w:eastAsia="楷体_GB2312" w:cs="楷体_GB2312"/>
          <w:sz w:val="32"/>
          <w:szCs w:val="32"/>
          <w:lang w:val="en-US" w:eastAsia="zh-CN"/>
        </w:rPr>
        <w:t>为</w:t>
      </w:r>
      <w:bookmarkStart w:id="0" w:name="_GoBack"/>
      <w:bookmarkEnd w:id="0"/>
      <w:r>
        <w:rPr>
          <w:rFonts w:hint="eastAsia" w:ascii="楷体_GB2312" w:hAnsi="楷体" w:eastAsia="楷体_GB2312" w:cs="楷体_GB2312"/>
          <w:sz w:val="32"/>
          <w:szCs w:val="32"/>
          <w:lang w:val="en-US" w:eastAsia="zh-CN"/>
        </w:rPr>
        <w:t>93.75分。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（二）部门整体绩效目标完成情况</w:t>
      </w:r>
    </w:p>
    <w:p>
      <w:pPr>
        <w:ind w:firstLine="640" w:firstLineChars="200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执行率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完成情况为68.75%。</w:t>
      </w:r>
    </w:p>
    <w:p>
      <w:pPr>
        <w:ind w:firstLine="640" w:firstLineChars="200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</w:rPr>
        <w:t>完成的绩效目标。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包括：</w:t>
      </w:r>
      <w:r>
        <w:rPr>
          <w:rFonts w:hint="eastAsia" w:ascii="仿宋_GB2312" w:eastAsia="仿宋_GB2312" w:cs="仿宋_GB2312"/>
          <w:sz w:val="32"/>
          <w:szCs w:val="32"/>
        </w:rPr>
        <w:t>智能化建设培训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、电子线路设备检修维护、门户网站改造和维护、考察学习费用、基本办公耗材费用。</w:t>
      </w:r>
    </w:p>
    <w:p>
      <w:pPr>
        <w:ind w:firstLine="640" w:firstLineChars="200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hint="eastAsia" w:ascii="仿宋_GB2312" w:eastAsia="仿宋_GB2312" w:cs="仿宋_GB2312"/>
          <w:sz w:val="32"/>
          <w:szCs w:val="32"/>
        </w:rPr>
        <w:t>未完成的绩效目标。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包括：</w:t>
      </w:r>
      <w:r>
        <w:rPr>
          <w:rFonts w:hint="eastAsia" w:ascii="仿宋_GB2312" w:eastAsia="仿宋_GB2312" w:cs="仿宋_GB2312"/>
          <w:sz w:val="32"/>
          <w:szCs w:val="32"/>
        </w:rPr>
        <w:t>政法智能化建设“十大能力”建设“大展演”活动费用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、网格化管理信息平台软件维护费。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（三）存在的问题和原因</w:t>
      </w:r>
    </w:p>
    <w:p>
      <w:pPr>
        <w:ind w:firstLine="640" w:firstLineChars="200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本年度绩效存在的问题：个别项目经费的绩效考核指标设置不合理，需要进行优化；定性指标比例过大，考核时不好评价；预算设置不合理，没有严格执行预算，存在预算执行与实际使用情况不符合的情况。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（四）下一步拟改进措施</w:t>
      </w:r>
    </w:p>
    <w:p>
      <w:pPr>
        <w:ind w:firstLine="640" w:firstLineChars="200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下一步拟改进措施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:严格执行预算。</w:t>
      </w:r>
    </w:p>
    <w:p>
      <w:pPr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</w:rPr>
        <w:t>拟与预算安排相结合情况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科学设置预算项目。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二、佐证材料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（一）基本情况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项目预算万元，项目支出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27.5万元。</w:t>
      </w:r>
    </w:p>
    <w:p>
      <w:pPr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  <w:r>
        <w:rPr>
          <w:rFonts w:ascii="仿宋_GB2312" w:hAnsi="仿宋" w:eastAsia="仿宋_GB2312" w:cs="仿宋_GB2312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sz w:val="32"/>
          <w:szCs w:val="32"/>
        </w:rPr>
        <w:t>简要概述年度部门整体绩效目标。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项目绩效基本完成。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（二）部门自评工作开展情况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自评工作开展顺利，积极完成自评任务分解，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（三）绩效目标完成情况分析</w:t>
      </w:r>
    </w:p>
    <w:p>
      <w:pPr>
        <w:ind w:firstLine="640" w:firstLineChars="200"/>
        <w:outlineLvl w:val="0"/>
      </w:pPr>
      <w:r>
        <w:rPr>
          <w:rFonts w:ascii="仿宋_GB2312" w:hAnsi="楷体_GB2312" w:eastAsia="仿宋_GB2312" w:cs="仿宋_GB2312"/>
          <w:sz w:val="32"/>
          <w:szCs w:val="32"/>
        </w:rPr>
        <w:t>1.</w:t>
      </w:r>
      <w:r>
        <w:rPr>
          <w:rFonts w:hint="eastAsia" w:ascii="仿宋_GB2312" w:hAnsi="楷体_GB2312" w:eastAsia="仿宋_GB2312" w:cs="仿宋_GB2312"/>
          <w:sz w:val="32"/>
          <w:szCs w:val="32"/>
        </w:rPr>
        <w:t>预算执行情况分析</w:t>
      </w:r>
      <w:r>
        <w:rPr>
          <w:rFonts w:hint="eastAsia" w:ascii="仿宋_GB2312" w:hAnsi="楷体_GB2312" w:eastAsia="仿宋_GB2312" w:cs="仿宋_GB2312"/>
          <w:sz w:val="32"/>
          <w:szCs w:val="32"/>
          <w:lang w:eastAsia="zh-CN"/>
        </w:rPr>
        <w:t>：未</w:t>
      </w:r>
      <w:r>
        <w:rPr>
          <w:rFonts w:hint="eastAsia" w:ascii="仿宋_GB2312" w:hAnsi="楷体_GB2312" w:eastAsia="仿宋_GB2312" w:cs="仿宋_GB2312"/>
          <w:sz w:val="32"/>
          <w:szCs w:val="32"/>
          <w:lang w:val="en-US" w:eastAsia="zh-CN"/>
        </w:rPr>
        <w:t>100%执行预算。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sz w:val="32"/>
          <w:szCs w:val="32"/>
        </w:rPr>
      </w:pPr>
      <w:r>
        <w:rPr>
          <w:rFonts w:ascii="仿宋_GB2312" w:hAnsi="楷体_GB2312" w:eastAsia="仿宋_GB2312" w:cs="仿宋_GB2312"/>
          <w:sz w:val="32"/>
          <w:szCs w:val="32"/>
        </w:rPr>
        <w:t>2.</w:t>
      </w:r>
      <w:r>
        <w:rPr>
          <w:rFonts w:hint="eastAsia" w:ascii="仿宋_GB2312" w:hAnsi="楷体_GB2312" w:eastAsia="仿宋_GB2312" w:cs="仿宋_GB2312"/>
          <w:sz w:val="32"/>
          <w:szCs w:val="32"/>
        </w:rPr>
        <w:t>绩效目标完成情况分析。</w:t>
      </w:r>
    </w:p>
    <w:p>
      <w:pPr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</w:t>
      </w:r>
      <w:r>
        <w:rPr>
          <w:rFonts w:ascii="仿宋_GB2312" w:hAnsi="仿宋" w:eastAsia="仿宋_GB2312" w:cs="仿宋_GB2312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</w:rPr>
        <w:t>）产出指标完成情况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</w:t>
      </w:r>
      <w:r>
        <w:rPr>
          <w:rFonts w:ascii="仿宋_GB2312" w:hAnsi="仿宋" w:eastAsia="仿宋_GB2312" w:cs="仿宋_GB2312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</w:rPr>
        <w:t>）效益指标完成情况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（3）满意度指标完成情况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（四）上年度部门整体部门自评结果应用情况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一是以依托综治中心规范化建设为载体，强化实战实用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_GB2312"/>
          <w:sz w:val="32"/>
          <w:szCs w:val="32"/>
        </w:rPr>
        <w:t>二是以完善基础配套为重点，强化网络互联互通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；</w:t>
      </w:r>
      <w:r>
        <w:rPr>
          <w:rFonts w:hint="default" w:ascii="仿宋_GB2312" w:hAnsi="仿宋" w:eastAsia="仿宋_GB2312" w:cs="仿宋_GB2312"/>
          <w:sz w:val="32"/>
          <w:szCs w:val="32"/>
        </w:rPr>
        <w:t>三是以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推进“全息网格”建设</w:t>
      </w:r>
      <w:r>
        <w:rPr>
          <w:rFonts w:hint="default" w:ascii="仿宋_GB2312" w:hAnsi="仿宋" w:eastAsia="仿宋_GB2312" w:cs="仿宋_GB2312"/>
          <w:sz w:val="32"/>
          <w:szCs w:val="32"/>
        </w:rPr>
        <w:t>为抓手，强化</w:t>
      </w:r>
      <w:r>
        <w:rPr>
          <w:rFonts w:hint="default" w:ascii="仿宋_GB2312" w:hAnsi="仿宋" w:eastAsia="仿宋_GB2312" w:cs="仿宋_GB2312"/>
          <w:sz w:val="32"/>
          <w:szCs w:val="32"/>
          <w:lang w:eastAsia="zh-CN"/>
        </w:rPr>
        <w:t>基层</w:t>
      </w:r>
      <w:r>
        <w:rPr>
          <w:rFonts w:hint="default" w:ascii="仿宋_GB2312" w:hAnsi="仿宋" w:eastAsia="仿宋_GB2312" w:cs="仿宋_GB2312"/>
          <w:sz w:val="32"/>
          <w:szCs w:val="32"/>
        </w:rPr>
        <w:t>治理创新</w:t>
      </w:r>
      <w:r>
        <w:rPr>
          <w:rFonts w:hint="default" w:ascii="仿宋_GB2312" w:hAnsi="仿宋" w:eastAsia="仿宋_GB2312" w:cs="仿宋_GB2312"/>
          <w:sz w:val="32"/>
          <w:szCs w:val="32"/>
          <w:lang w:eastAsia="zh-CN"/>
        </w:rPr>
        <w:t>。</w:t>
      </w:r>
      <w:r>
        <w:rPr>
          <w:rFonts w:hint="default" w:ascii="仿宋_GB2312" w:hAnsi="仿宋" w:eastAsia="仿宋_GB2312" w:cs="仿宋_GB2312"/>
          <w:sz w:val="32"/>
          <w:szCs w:val="32"/>
        </w:rPr>
        <w:t>四是以深化“雪亮工程”为根本，强化治安防控</w:t>
      </w:r>
      <w:r>
        <w:rPr>
          <w:rFonts w:hint="default" w:ascii="仿宋_GB2312" w:hAnsi="仿宋" w:eastAsia="仿宋_GB2312" w:cs="仿宋_GB2312"/>
          <w:sz w:val="32"/>
          <w:szCs w:val="32"/>
          <w:lang w:eastAsia="zh-CN"/>
        </w:rPr>
        <w:t>。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五是以推进政法应用为核心，强化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执法司法工作成效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（五）其他佐证材料</w:t>
      </w:r>
    </w:p>
    <w:p>
      <w:pPr>
        <w:ind w:firstLine="640" w:firstLineChars="200"/>
        <w:rPr>
          <w:rFonts w:hint="eastAsia" w:ascii="楷体" w:hAnsi="楷体" w:eastAsia="楷体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Times New Roman"/>
          <w:sz w:val="32"/>
          <w:szCs w:val="32"/>
          <w:lang w:val="en-US" w:eastAsia="zh-CN"/>
        </w:rPr>
        <w:t>无</w:t>
      </w:r>
    </w:p>
    <w:p>
      <w:pPr>
        <w:widowControl/>
        <w:rPr>
          <w:rFonts w:hint="eastAsia" w:ascii="仿宋_GB2312" w:hAnsi="宋体" w:eastAsia="仿宋_GB2312" w:cs="仿宋_GB2312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.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年度政法智能化建设专项经费项目自评表</w:t>
      </w:r>
    </w:p>
    <w:p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中共鄂州市委政法委员会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2023年6月9日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政法智能化建设专项经费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市委政法委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市委政法委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sym w:font="Wingdings 2" w:char="0052"/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sym w:font="Wingdings 2" w:char="0052"/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sym w:font="Wingdings 2" w:char="0052"/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40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2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7.5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68.75%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13.75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网络建设全覆盖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全市26个乡镇联通政法专网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  <w:p>
            <w:pPr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 xml:space="preserve"> 建立健全网上网下联动机制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建立健全网上网下联动机制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形成实战效能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形成实战效能，服务政法工作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网络线路租用成本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保障网络线路正常运行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系统维护可用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系统维护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经济实用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政法智能化建设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系统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使用人员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满意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使用人员满意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93.75分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有部分子项目设置不合理。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加强信息化实战应用子项目的经费预算。</w:t>
            </w:r>
          </w:p>
        </w:tc>
      </w:tr>
    </w:tbl>
    <w:p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ascii="Times New Roman" w:hAnsi="Times New Roman"/>
        <w:sz w:val="24"/>
        <w:szCs w:val="22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NDA4ZDc2NTliMTMyOGEzOTFiN2MyZGZjODhjNGQifQ=="/>
  </w:docVars>
  <w:rsids>
    <w:rsidRoot w:val="298F1008"/>
    <w:rsid w:val="1B7866AE"/>
    <w:rsid w:val="298F1008"/>
    <w:rsid w:val="2E252680"/>
    <w:rsid w:val="3CC049B6"/>
    <w:rsid w:val="45D76CF1"/>
    <w:rsid w:val="4A416FF1"/>
    <w:rsid w:val="57C84966"/>
    <w:rsid w:val="5ADC648A"/>
    <w:rsid w:val="7E4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1475</Words>
  <Characters>1577</Characters>
  <Lines>0</Lines>
  <Paragraphs>0</Paragraphs>
  <TotalTime>0</TotalTime>
  <ScaleCrop>false</ScaleCrop>
  <LinksUpToDate>false</LinksUpToDate>
  <CharactersWithSpaces>1623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Administrator</cp:lastModifiedBy>
  <cp:lastPrinted>2023-06-19T08:48:27Z</cp:lastPrinted>
  <dcterms:modified xsi:type="dcterms:W3CDTF">2023-06-19T09:00:09Z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E47B8D2DFFA24B509E3BCFB71BBB22E4_13</vt:lpwstr>
  </property>
</Properties>
</file>