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eastAsia="方正小标宋简体" w:cs="Times New Roman"/>
        </w:rPr>
      </w:pPr>
      <w:r>
        <w:rPr>
          <w:rFonts w:hint="eastAsia" w:ascii="宋体" w:hAnsi="宋体" w:eastAsia="宋体" w:cs="宋体"/>
          <w:b w:val="0"/>
          <w:bCs w:val="0"/>
          <w:color w:val="auto"/>
          <w:kern w:val="0"/>
          <w:sz w:val="30"/>
          <w:szCs w:val="30"/>
        </w:rPr>
        <w:t>附</w:t>
      </w:r>
      <w:r>
        <w:rPr>
          <w:rFonts w:hint="eastAsia" w:ascii="宋体" w:hAnsi="宋体" w:eastAsia="宋体" w:cs="宋体"/>
          <w:b w:val="0"/>
          <w:bCs w:val="0"/>
          <w:color w:val="auto"/>
          <w:kern w:val="0"/>
          <w:sz w:val="30"/>
          <w:szCs w:val="30"/>
          <w:lang w:eastAsia="zh-CN"/>
        </w:rPr>
        <w:t>件</w:t>
      </w:r>
      <w:r>
        <w:rPr>
          <w:rFonts w:hint="eastAsia" w:ascii="宋体" w:hAnsi="宋体" w:eastAsia="宋体" w:cs="宋体"/>
          <w:b w:val="0"/>
          <w:bCs w:val="0"/>
          <w:color w:val="auto"/>
          <w:kern w:val="0"/>
          <w:sz w:val="30"/>
          <w:szCs w:val="30"/>
        </w:rPr>
        <w:t>4：</w:t>
      </w:r>
    </w:p>
    <w:p>
      <w:pPr>
        <w:jc w:val="center"/>
        <w:rPr>
          <w:rFonts w:hint="eastAsia" w:ascii="方正小标宋_GBK" w:hAnsi="仿宋" w:eastAsia="方正小标宋_GBK" w:cs="方正小标宋_GBK"/>
          <w:sz w:val="36"/>
          <w:szCs w:val="36"/>
        </w:rPr>
      </w:pPr>
      <w:r>
        <w:rPr>
          <w:rFonts w:hint="eastAsia" w:ascii="方正小标宋_GBK" w:hAnsi="仿宋" w:eastAsia="方正小标宋_GBK" w:cs="方正小标宋_GBK"/>
          <w:sz w:val="36"/>
          <w:szCs w:val="36"/>
          <w:lang w:val="en-US" w:eastAsia="zh-CN"/>
        </w:rPr>
        <w:t>2022</w:t>
      </w:r>
      <w:r>
        <w:rPr>
          <w:rFonts w:hint="eastAsia" w:ascii="方正小标宋_GBK" w:hAnsi="仿宋" w:eastAsia="方正小标宋_GBK" w:cs="方正小标宋_GBK"/>
          <w:sz w:val="36"/>
          <w:szCs w:val="36"/>
        </w:rPr>
        <w:t>年度</w:t>
      </w:r>
      <w:r>
        <w:rPr>
          <w:rFonts w:hint="eastAsia" w:ascii="方正小标宋_GBK" w:hAnsi="仿宋" w:eastAsia="方正小标宋_GBK" w:cs="方正小标宋_GBK"/>
          <w:sz w:val="36"/>
          <w:szCs w:val="36"/>
          <w:lang w:eastAsia="zh-CN"/>
        </w:rPr>
        <w:t>市委政法委</w:t>
      </w:r>
      <w:r>
        <w:rPr>
          <w:rFonts w:hint="eastAsia" w:ascii="方正小标宋_GBK" w:hAnsi="仿宋" w:eastAsia="方正小标宋_GBK" w:cs="方正小标宋_GBK"/>
          <w:sz w:val="36"/>
          <w:szCs w:val="36"/>
        </w:rPr>
        <w:t>部门整体绩效自评结果</w:t>
      </w:r>
    </w:p>
    <w:p>
      <w:pPr>
        <w:jc w:val="center"/>
        <w:rPr>
          <w:rFonts w:hint="eastAsia" w:ascii="方正小标宋_GBK" w:hAnsi="仿宋" w:eastAsia="方正小标宋_GBK" w:cs="方正小标宋_GBK"/>
          <w:sz w:val="36"/>
          <w:szCs w:val="36"/>
        </w:rPr>
      </w:pPr>
      <w:bookmarkStart w:id="0" w:name="_GoBack"/>
      <w:bookmarkEnd w:id="0"/>
    </w:p>
    <w:p>
      <w:pPr>
        <w:ind w:firstLine="640" w:firstLineChars="200"/>
        <w:rPr>
          <w:rFonts w:ascii="黑体" w:hAnsi="黑体" w:eastAsia="黑体" w:cs="Times New Roman"/>
          <w:sz w:val="32"/>
          <w:szCs w:val="32"/>
        </w:rPr>
      </w:pPr>
      <w:r>
        <w:rPr>
          <w:rFonts w:hint="eastAsia" w:ascii="黑体" w:hAnsi="黑体" w:eastAsia="黑体" w:cs="黑体"/>
          <w:sz w:val="32"/>
          <w:szCs w:val="32"/>
        </w:rPr>
        <w:t>一、自评结论</w:t>
      </w:r>
    </w:p>
    <w:p>
      <w:pPr>
        <w:ind w:firstLine="640" w:firstLineChars="200"/>
        <w:rPr>
          <w:rFonts w:hint="eastAsia" w:ascii="楷体_GB2312" w:hAnsi="楷体" w:eastAsia="楷体_GB2312" w:cs="楷体_GB2312"/>
          <w:sz w:val="32"/>
          <w:szCs w:val="32"/>
        </w:rPr>
      </w:pPr>
      <w:r>
        <w:rPr>
          <w:rFonts w:hint="eastAsia" w:ascii="楷体_GB2312" w:hAnsi="楷体" w:eastAsia="楷体_GB2312" w:cs="楷体_GB2312"/>
          <w:sz w:val="32"/>
          <w:szCs w:val="32"/>
        </w:rPr>
        <w:t>（一）部门整体绩效自评得分</w:t>
      </w:r>
    </w:p>
    <w:p>
      <w:pPr>
        <w:ind w:firstLine="600" w:firstLineChars="200"/>
        <w:rPr>
          <w:rFonts w:hint="eastAsia" w:ascii="楷体_GB2312" w:hAnsi="楷体" w:eastAsia="楷体_GB2312" w:cs="楷体_GB2312"/>
          <w:sz w:val="32"/>
          <w:szCs w:val="32"/>
        </w:rPr>
      </w:pPr>
      <w:r>
        <w:rPr>
          <w:rFonts w:hint="eastAsia" w:ascii="仿宋" w:hAnsi="仿宋" w:eastAsia="仿宋" w:cs="仿宋"/>
          <w:sz w:val="30"/>
          <w:szCs w:val="30"/>
        </w:rPr>
        <w:t>部门整体支出经市人大及财政审批，严格按照年初部门预算支出，</w:t>
      </w:r>
      <w:r>
        <w:rPr>
          <w:rFonts w:hint="eastAsia" w:ascii="仿宋" w:hAnsi="仿宋" w:eastAsia="仿宋" w:cs="仿宋"/>
          <w:sz w:val="30"/>
          <w:szCs w:val="30"/>
          <w:lang w:val="en-US" w:eastAsia="zh-CN"/>
        </w:rPr>
        <w:t>2022</w:t>
      </w:r>
      <w:r>
        <w:rPr>
          <w:rFonts w:hint="eastAsia" w:ascii="仿宋" w:hAnsi="仿宋" w:eastAsia="仿宋" w:cs="仿宋"/>
          <w:sz w:val="30"/>
          <w:szCs w:val="30"/>
        </w:rPr>
        <w:t>年</w:t>
      </w:r>
      <w:r>
        <w:rPr>
          <w:rFonts w:hint="eastAsia" w:ascii="仿宋" w:hAnsi="仿宋" w:eastAsia="仿宋" w:cs="仿宋"/>
          <w:sz w:val="30"/>
          <w:szCs w:val="30"/>
          <w:lang w:val="en-US" w:eastAsia="zh-CN"/>
        </w:rPr>
        <w:t>市委政法委</w:t>
      </w:r>
      <w:r>
        <w:rPr>
          <w:rFonts w:hint="eastAsia" w:ascii="仿宋" w:hAnsi="仿宋" w:eastAsia="仿宋" w:cs="仿宋"/>
          <w:sz w:val="30"/>
          <w:szCs w:val="30"/>
        </w:rPr>
        <w:t>的整体支出年初预算</w:t>
      </w:r>
      <w:r>
        <w:rPr>
          <w:rFonts w:hint="eastAsia" w:ascii="仿宋" w:hAnsi="仿宋" w:eastAsia="仿宋" w:cs="仿宋"/>
          <w:sz w:val="30"/>
          <w:szCs w:val="30"/>
          <w:lang w:val="en-US" w:eastAsia="zh-CN"/>
        </w:rPr>
        <w:t>4540.31</w:t>
      </w:r>
      <w:r>
        <w:rPr>
          <w:rFonts w:hint="eastAsia" w:ascii="仿宋" w:hAnsi="仿宋" w:eastAsia="仿宋" w:cs="仿宋"/>
          <w:sz w:val="30"/>
          <w:szCs w:val="30"/>
        </w:rPr>
        <w:t>万元，实际拨付</w:t>
      </w:r>
      <w:r>
        <w:rPr>
          <w:rFonts w:hint="eastAsia" w:ascii="仿宋" w:hAnsi="仿宋" w:eastAsia="仿宋" w:cs="仿宋"/>
          <w:sz w:val="30"/>
          <w:szCs w:val="30"/>
          <w:lang w:val="en-US" w:eastAsia="zh-CN"/>
        </w:rPr>
        <w:t>1565.63</w:t>
      </w:r>
      <w:r>
        <w:rPr>
          <w:rFonts w:hint="eastAsia" w:ascii="仿宋" w:hAnsi="仿宋" w:eastAsia="仿宋" w:cs="仿宋"/>
          <w:sz w:val="30"/>
          <w:szCs w:val="30"/>
        </w:rPr>
        <w:t>万元，自评得分</w:t>
      </w:r>
      <w:r>
        <w:rPr>
          <w:rFonts w:hint="eastAsia" w:ascii="仿宋" w:hAnsi="仿宋" w:eastAsia="仿宋" w:cs="仿宋"/>
          <w:sz w:val="30"/>
          <w:szCs w:val="30"/>
          <w:lang w:val="en-US" w:eastAsia="zh-CN"/>
        </w:rPr>
        <w:t>92</w:t>
      </w:r>
      <w:r>
        <w:rPr>
          <w:rFonts w:hint="eastAsia" w:ascii="仿宋" w:hAnsi="仿宋" w:eastAsia="仿宋" w:cs="仿宋"/>
          <w:sz w:val="30"/>
          <w:szCs w:val="30"/>
        </w:rPr>
        <w:t>分。</w:t>
      </w:r>
    </w:p>
    <w:p>
      <w:pPr>
        <w:ind w:firstLine="640" w:firstLineChars="200"/>
        <w:rPr>
          <w:rFonts w:ascii="楷体_GB2312" w:hAnsi="楷体" w:eastAsia="楷体_GB2312" w:cs="Times New Roman"/>
          <w:sz w:val="32"/>
          <w:szCs w:val="32"/>
        </w:rPr>
      </w:pPr>
      <w:r>
        <w:rPr>
          <w:rFonts w:hint="eastAsia" w:ascii="楷体_GB2312" w:hAnsi="楷体" w:eastAsia="楷体_GB2312" w:cs="楷体_GB2312"/>
          <w:sz w:val="32"/>
          <w:szCs w:val="32"/>
        </w:rPr>
        <w:t>（二）部门整体绩效目标完成情况</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1.执行率情况。</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项目到位资金</w:t>
      </w:r>
      <w:r>
        <w:rPr>
          <w:rFonts w:hint="eastAsia" w:ascii="仿宋" w:hAnsi="仿宋" w:eastAsia="仿宋" w:cs="仿宋"/>
          <w:sz w:val="30"/>
          <w:szCs w:val="30"/>
          <w:lang w:val="en-US" w:eastAsia="zh-CN"/>
        </w:rPr>
        <w:t>923.02</w:t>
      </w:r>
      <w:r>
        <w:rPr>
          <w:rFonts w:hint="eastAsia" w:ascii="仿宋" w:hAnsi="仿宋" w:eastAsia="仿宋" w:cs="仿宋"/>
          <w:sz w:val="30"/>
          <w:szCs w:val="30"/>
        </w:rPr>
        <w:t>万元，实际支出金额</w:t>
      </w:r>
      <w:r>
        <w:rPr>
          <w:rFonts w:hint="eastAsia" w:ascii="仿宋" w:hAnsi="仿宋" w:eastAsia="仿宋" w:cs="仿宋"/>
          <w:sz w:val="30"/>
          <w:szCs w:val="30"/>
          <w:lang w:val="en-US" w:eastAsia="zh-CN"/>
        </w:rPr>
        <w:t>923.02</w:t>
      </w:r>
      <w:r>
        <w:rPr>
          <w:rFonts w:hint="eastAsia" w:ascii="仿宋" w:hAnsi="仿宋" w:eastAsia="仿宋" w:cs="仿宋"/>
          <w:sz w:val="30"/>
          <w:szCs w:val="30"/>
        </w:rPr>
        <w:t>万元，执行率</w:t>
      </w:r>
      <w:r>
        <w:rPr>
          <w:rFonts w:hint="eastAsia" w:ascii="仿宋" w:hAnsi="仿宋" w:eastAsia="仿宋" w:cs="仿宋"/>
          <w:sz w:val="30"/>
          <w:szCs w:val="30"/>
          <w:lang w:val="en-US" w:eastAsia="zh-CN"/>
        </w:rPr>
        <w:t>100</w:t>
      </w:r>
      <w:r>
        <w:rPr>
          <w:rFonts w:hint="eastAsia" w:ascii="仿宋" w:hAnsi="仿宋" w:eastAsia="仿宋" w:cs="仿宋"/>
          <w:sz w:val="30"/>
          <w:szCs w:val="30"/>
        </w:rPr>
        <w:t>%。</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2.完成的绩效目标。产出指标、效益指标、满意度指标3类一级指标，共计</w:t>
      </w:r>
      <w:r>
        <w:rPr>
          <w:rFonts w:hint="eastAsia" w:ascii="仿宋" w:hAnsi="仿宋" w:eastAsia="仿宋" w:cs="仿宋"/>
          <w:sz w:val="30"/>
          <w:szCs w:val="30"/>
          <w:lang w:val="en-US" w:eastAsia="zh-CN"/>
        </w:rPr>
        <w:t>6</w:t>
      </w:r>
      <w:r>
        <w:rPr>
          <w:rFonts w:hint="eastAsia" w:ascii="仿宋" w:hAnsi="仿宋" w:eastAsia="仿宋" w:cs="仿宋"/>
          <w:sz w:val="30"/>
          <w:szCs w:val="30"/>
        </w:rPr>
        <w:t>类</w:t>
      </w:r>
      <w:r>
        <w:rPr>
          <w:rFonts w:hint="eastAsia" w:ascii="仿宋" w:hAnsi="仿宋" w:eastAsia="仿宋" w:cs="仿宋"/>
          <w:sz w:val="30"/>
          <w:szCs w:val="30"/>
          <w:lang w:val="en-US" w:eastAsia="zh-CN"/>
        </w:rPr>
        <w:t>二</w:t>
      </w:r>
      <w:r>
        <w:rPr>
          <w:rFonts w:hint="eastAsia" w:ascii="仿宋" w:hAnsi="仿宋" w:eastAsia="仿宋" w:cs="仿宋"/>
          <w:sz w:val="30"/>
          <w:szCs w:val="30"/>
        </w:rPr>
        <w:t>级绩效指标。</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3.未完成的绩效目标。</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无</w:t>
      </w:r>
    </w:p>
    <w:p>
      <w:pPr>
        <w:ind w:firstLine="640" w:firstLineChars="200"/>
        <w:rPr>
          <w:rFonts w:ascii="楷体_GB2312" w:hAnsi="楷体" w:eastAsia="楷体_GB2312" w:cs="Times New Roman"/>
          <w:sz w:val="32"/>
          <w:szCs w:val="32"/>
        </w:rPr>
      </w:pPr>
      <w:r>
        <w:rPr>
          <w:rFonts w:hint="eastAsia" w:ascii="楷体_GB2312" w:hAnsi="楷体" w:eastAsia="楷体_GB2312" w:cs="楷体_GB2312"/>
          <w:sz w:val="32"/>
          <w:szCs w:val="32"/>
        </w:rPr>
        <w:t>（三）存在的问题和原因</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在目标绩效管理工作中，对绩效管理有一定的了解，但没有进行系统的绩效管理学习。在绩效目标设置、绩效目标监控、绩效目标评价结果应用等方面还存在不足，缺乏系统性、整体性的考量。</w:t>
      </w:r>
    </w:p>
    <w:p>
      <w:pPr>
        <w:ind w:firstLine="640" w:firstLineChars="200"/>
        <w:rPr>
          <w:rFonts w:ascii="楷体_GB2312" w:hAnsi="楷体" w:eastAsia="楷体_GB2312" w:cs="Times New Roman"/>
          <w:sz w:val="32"/>
          <w:szCs w:val="32"/>
        </w:rPr>
      </w:pPr>
      <w:r>
        <w:rPr>
          <w:rFonts w:hint="eastAsia" w:ascii="楷体_GB2312" w:hAnsi="楷体" w:eastAsia="楷体_GB2312" w:cs="楷体_GB2312"/>
          <w:sz w:val="32"/>
          <w:szCs w:val="32"/>
        </w:rPr>
        <w:t>（四）下一步拟改进措施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建章立制，强化监督，狠抓规范，重视财务管理。财务管理是资金管理的核心，严格实行了专款专用、国库集中支付。</w:t>
      </w:r>
      <w:r>
        <w:rPr>
          <w:rFonts w:hint="eastAsia" w:ascii="仿宋" w:hAnsi="仿宋" w:eastAsia="仿宋" w:cs="仿宋"/>
          <w:b/>
          <w:bCs/>
          <w:sz w:val="30"/>
          <w:szCs w:val="30"/>
        </w:rPr>
        <w:t>一是</w:t>
      </w:r>
      <w:r>
        <w:rPr>
          <w:rFonts w:hint="eastAsia" w:ascii="仿宋" w:hAnsi="仿宋" w:eastAsia="仿宋" w:cs="仿宋"/>
          <w:sz w:val="30"/>
          <w:szCs w:val="30"/>
        </w:rPr>
        <w:t>健全用款程序，细化财务支出。建立和完善项目资金申请审批程序，严格按照预算下达资金控制其他费用支出，以实现项目管理精细化要求。</w:t>
      </w:r>
      <w:r>
        <w:rPr>
          <w:rFonts w:hint="eastAsia" w:ascii="仿宋" w:hAnsi="仿宋" w:eastAsia="仿宋" w:cs="仿宋"/>
          <w:b/>
          <w:bCs/>
          <w:sz w:val="30"/>
          <w:szCs w:val="30"/>
        </w:rPr>
        <w:t>二是</w:t>
      </w:r>
      <w:r>
        <w:rPr>
          <w:rFonts w:hint="eastAsia" w:ascii="仿宋" w:hAnsi="仿宋" w:eastAsia="仿宋" w:cs="仿宋"/>
          <w:sz w:val="30"/>
          <w:szCs w:val="30"/>
        </w:rPr>
        <w:t>强化监管同步，把好支出关口。具体是把好“四道关”：①资金调拨关，实行“项目资金申请与资料审核齐步走”的办法，市财政把关资金调拨；②报账审核关，由单位财务人员对项目资金的使用情况进行实时跟踪；③过程监督关，实行多部门“事先评审，事中监督，事后问效”机制；④后续监管关，建立决算项目后续报告制度和后续审计检查制度。</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向上级部门或系统内其他单位学习借鉴指标设置经验，根据实际情况合理设置绩效目标；</w:t>
      </w:r>
    </w:p>
    <w:p>
      <w:pPr>
        <w:keepNext w:val="0"/>
        <w:keepLines w:val="0"/>
        <w:pageBreakBefore w:val="0"/>
        <w:widowControl w:val="0"/>
        <w:kinsoku/>
        <w:wordWrap/>
        <w:overflowPunct/>
        <w:topLinePunct w:val="0"/>
        <w:autoSpaceDE/>
        <w:autoSpaceDN/>
        <w:bidi w:val="0"/>
        <w:adjustRightInd/>
        <w:snapToGrid/>
        <w:spacing w:beforeAutospacing="0" w:afterAutospacing="0"/>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对绩效目标评价结果为优或者良的项目继续保留安排下年度预算，对于评价结果未能达到优或者良的项目将重新审核考量，并减少预算安排。</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（1）将绩效管理工作进一步融入日常工作中，探索完善项目绩效指标体系。</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（2）加强内部控制建设，完善项目管理制度，加强检查指导，促进项目管理工作深度开展。</w:t>
      </w:r>
    </w:p>
    <w:p>
      <w:pPr>
        <w:ind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4</w:t>
      </w:r>
      <w:r>
        <w:rPr>
          <w:rFonts w:ascii="仿宋_GB2312" w:eastAsia="仿宋_GB2312" w:cs="仿宋_GB2312"/>
          <w:sz w:val="32"/>
          <w:szCs w:val="32"/>
        </w:rPr>
        <w:t>.</w:t>
      </w:r>
      <w:r>
        <w:rPr>
          <w:rFonts w:hint="eastAsia" w:ascii="仿宋_GB2312" w:eastAsia="仿宋_GB2312" w:cs="仿宋_GB2312"/>
          <w:sz w:val="32"/>
          <w:szCs w:val="32"/>
        </w:rPr>
        <w:t>拟与预算安排相结合情况。</w:t>
      </w:r>
    </w:p>
    <w:p>
      <w:pPr>
        <w:ind w:firstLine="600" w:firstLineChars="200"/>
      </w:pPr>
      <w:r>
        <w:rPr>
          <w:rFonts w:hint="eastAsia" w:ascii="仿宋" w:hAnsi="仿宋" w:eastAsia="仿宋" w:cs="仿宋"/>
          <w:sz w:val="30"/>
          <w:szCs w:val="30"/>
          <w:lang w:eastAsia="zh-CN"/>
        </w:rPr>
        <w:t>一是</w:t>
      </w:r>
      <w:r>
        <w:rPr>
          <w:rFonts w:hint="eastAsia" w:ascii="仿宋" w:hAnsi="仿宋" w:eastAsia="仿宋" w:cs="仿宋"/>
          <w:sz w:val="30"/>
          <w:szCs w:val="30"/>
        </w:rPr>
        <w:t>合理规划，先预算后用钱。按照量入为出、收支平衡的原则编制部门预算，人大、财政审核下达后，将下达的预算作为开展工作的依据，年初无预算的不予实施，避免负债运作</w:t>
      </w:r>
      <w:r>
        <w:rPr>
          <w:rFonts w:hint="eastAsia" w:ascii="仿宋" w:hAnsi="仿宋" w:eastAsia="仿宋" w:cs="仿宋"/>
          <w:sz w:val="30"/>
          <w:szCs w:val="30"/>
          <w:lang w:eastAsia="zh-CN"/>
        </w:rPr>
        <w:t>。二是</w:t>
      </w:r>
      <w:r>
        <w:rPr>
          <w:rFonts w:hint="eastAsia" w:ascii="仿宋" w:hAnsi="仿宋" w:eastAsia="仿宋" w:cs="仿宋"/>
          <w:sz w:val="30"/>
          <w:szCs w:val="30"/>
        </w:rPr>
        <w:t>建立和完善资金申请审批程序，严格按照预算下达资金控制其他费用支出，以实现资金管理精细化要求</w:t>
      </w:r>
      <w:r>
        <w:rPr>
          <w:rFonts w:hint="eastAsia" w:ascii="仿宋" w:hAnsi="仿宋" w:eastAsia="仿宋" w:cs="仿宋"/>
          <w:sz w:val="30"/>
          <w:szCs w:val="30"/>
          <w:lang w:eastAsia="zh-CN"/>
        </w:rPr>
        <w:t>。三是</w:t>
      </w:r>
      <w:r>
        <w:rPr>
          <w:rFonts w:hint="eastAsia" w:ascii="仿宋" w:hAnsi="仿宋" w:eastAsia="仿宋" w:cs="仿宋"/>
          <w:sz w:val="30"/>
          <w:szCs w:val="30"/>
        </w:rPr>
        <w:t>细化预算编制工作，为内部控制工作打下基础。</w:t>
      </w:r>
    </w:p>
    <w:p>
      <w:pPr>
        <w:ind w:firstLine="640" w:firstLineChars="200"/>
        <w:rPr>
          <w:rFonts w:hint="eastAsia" w:ascii="仿宋" w:hAnsi="仿宋" w:eastAsia="仿宋" w:cs="仿宋"/>
          <w:sz w:val="30"/>
          <w:szCs w:val="30"/>
        </w:rPr>
      </w:pPr>
      <w:r>
        <w:rPr>
          <w:rFonts w:hint="eastAsia" w:ascii="楷体_GB2312" w:hAnsi="楷体" w:eastAsia="楷体_GB2312" w:cs="楷体_GB2312"/>
          <w:sz w:val="32"/>
          <w:szCs w:val="32"/>
        </w:rPr>
        <w:t>附件：</w:t>
      </w:r>
      <w:r>
        <w:rPr>
          <w:rFonts w:hint="eastAsia" w:ascii="仿宋" w:hAnsi="仿宋" w:eastAsia="仿宋" w:cs="仿宋"/>
          <w:sz w:val="30"/>
          <w:szCs w:val="30"/>
          <w:lang w:val="en-US" w:eastAsia="zh-CN"/>
        </w:rPr>
        <w:t>2022</w:t>
      </w:r>
      <w:r>
        <w:rPr>
          <w:rFonts w:hint="eastAsia" w:ascii="仿宋" w:hAnsi="仿宋" w:eastAsia="仿宋" w:cs="仿宋"/>
          <w:sz w:val="30"/>
          <w:szCs w:val="30"/>
        </w:rPr>
        <w:t>年度</w:t>
      </w:r>
      <w:r>
        <w:rPr>
          <w:rFonts w:hint="eastAsia" w:ascii="仿宋" w:hAnsi="仿宋" w:eastAsia="仿宋" w:cs="仿宋"/>
          <w:sz w:val="30"/>
          <w:szCs w:val="30"/>
          <w:lang w:val="en-US" w:eastAsia="zh-CN"/>
        </w:rPr>
        <w:t>鄂州市委政法委部门</w:t>
      </w:r>
      <w:r>
        <w:rPr>
          <w:rFonts w:hint="eastAsia" w:ascii="仿宋" w:hAnsi="仿宋" w:eastAsia="仿宋" w:cs="仿宋"/>
          <w:sz w:val="30"/>
          <w:szCs w:val="30"/>
        </w:rPr>
        <w:t>整体部门自评表</w:t>
      </w:r>
    </w:p>
    <w:p>
      <w:pPr>
        <w:ind w:firstLine="640" w:firstLineChars="200"/>
        <w:rPr>
          <w:rFonts w:ascii="黑体" w:hAnsi="黑体" w:eastAsia="黑体" w:cs="Times New Roman"/>
          <w:sz w:val="32"/>
          <w:szCs w:val="32"/>
        </w:rPr>
      </w:pPr>
      <w:r>
        <w:rPr>
          <w:rFonts w:hint="eastAsia" w:ascii="黑体" w:hAnsi="黑体" w:eastAsia="黑体" w:cs="黑体"/>
          <w:sz w:val="32"/>
          <w:szCs w:val="32"/>
        </w:rPr>
        <w:t>二、佐证材料</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（一）基本情况</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1.项目立项目的和年度绩效目标</w:t>
      </w:r>
    </w:p>
    <w:p>
      <w:pPr>
        <w:ind w:firstLine="602" w:firstLineChars="200"/>
        <w:rPr>
          <w:rFonts w:hint="eastAsia" w:ascii="仿宋" w:hAnsi="仿宋" w:eastAsia="仿宋" w:cs="仿宋"/>
          <w:sz w:val="30"/>
          <w:szCs w:val="30"/>
          <w:lang w:val="en-US" w:eastAsia="zh-CN"/>
        </w:rPr>
      </w:pPr>
      <w:r>
        <w:rPr>
          <w:rFonts w:hint="eastAsia" w:ascii="仿宋" w:hAnsi="仿宋" w:eastAsia="仿宋" w:cs="仿宋"/>
          <w:b/>
          <w:bCs/>
          <w:sz w:val="30"/>
          <w:szCs w:val="30"/>
          <w:lang w:val="en-US" w:eastAsia="zh-CN"/>
        </w:rPr>
        <w:t>1.项目立项目的。</w:t>
      </w:r>
      <w:r>
        <w:rPr>
          <w:rFonts w:hint="eastAsia" w:ascii="仿宋" w:hAnsi="仿宋" w:eastAsia="仿宋" w:cs="仿宋"/>
          <w:sz w:val="30"/>
          <w:szCs w:val="30"/>
          <w:lang w:val="en-US" w:eastAsia="zh-CN"/>
        </w:rPr>
        <w:t>充分发挥社会治安综合治理的优势和职能作用，动员全社会广泛参与，推进各部门齐抓共管，综合治理，为鄂州市经济建设保驾护航。提高全社会治安化水平，加快法治鄂州建设进程；推进司法综合配合改革和政法领域改革，切实提升司法公信力，确保司法公正高效权威。坚持“去存量、控增量、防变量”的反邪教工作总体思路，深入推入系统治理、综合治理、依法治理、源头治理，全面落实打击防控、教育转化、宣传教育等措施，提升反邪教治理水平。深入贯彻习近平新时代中国特色社会主义思想，坚持中国特色社会主义法治理论，强化政治引领，落实意识形态工作责任制，建立健全法学会各项工作机制，搭建工作平台，建设法治智库，开展法学研究，参与法治宣传、法律服务和社会治理，开创法学会工作新局面。黑恶势力违法犯罪特别是农村涉黑涉恶问题得到根本遏制,黑恶势力治安乱点得到全面整治,重点行业、领域管理得到明显加强,人民群众安全感满意度明显提升;黑恶势力“保护伞”得以铲除,基层组织建设的环境明显优化;加强基层社会治理能力明显提升,涉黑涉恶违法犯罪防范打击长效机制更加健全,扫黑除恶工作法治化、规范化、专业化水平进一步提高。全面完成“一张大网”：政法综合信息网（市、区、街道（乡镇）三级网络纵向贯通、市直政法各部门业务网络横向联通、信息数据互通互享）。“两大平台”：维稳情报信息平台，应急指挥平台。“三大中心”：“政法云”大数据中心，政法舆情监测中心，网格化服务管理中心。“四大体系”：立体化社会治安防控支撑体系，政法业务支撑体系，政法为民服务支撑体系（实现网上查询、网上受理、网上办理），安全运维支撑体系（确保信息数据和基础网络安全）。</w:t>
      </w:r>
    </w:p>
    <w:p>
      <w:pPr>
        <w:ind w:firstLine="602" w:firstLineChars="200"/>
        <w:rPr>
          <w:rFonts w:hint="eastAsia" w:ascii="仿宋" w:hAnsi="仿宋" w:eastAsia="仿宋" w:cs="仿宋"/>
          <w:sz w:val="30"/>
          <w:szCs w:val="30"/>
        </w:rPr>
      </w:pPr>
      <w:r>
        <w:rPr>
          <w:rFonts w:hint="eastAsia" w:ascii="仿宋" w:hAnsi="仿宋" w:eastAsia="仿宋" w:cs="仿宋"/>
          <w:b/>
          <w:bCs/>
          <w:sz w:val="30"/>
          <w:szCs w:val="30"/>
          <w:lang w:val="en-US" w:eastAsia="zh-CN"/>
        </w:rPr>
        <w:t>2.</w:t>
      </w:r>
      <w:r>
        <w:rPr>
          <w:rFonts w:hint="eastAsia" w:ascii="仿宋" w:hAnsi="仿宋" w:eastAsia="仿宋" w:cs="仿宋"/>
          <w:b/>
          <w:bCs/>
          <w:sz w:val="30"/>
          <w:szCs w:val="30"/>
        </w:rPr>
        <w:t>年度绩效目标。</w:t>
      </w:r>
      <w:r>
        <w:rPr>
          <w:rFonts w:hint="eastAsia" w:ascii="仿宋" w:hAnsi="仿宋" w:eastAsia="仿宋" w:cs="仿宋"/>
          <w:sz w:val="30"/>
          <w:szCs w:val="30"/>
          <w:lang w:val="en-US" w:eastAsia="zh-CN"/>
        </w:rPr>
        <w:t>一是推动学习贯彻习近平新时代中国特色社会主义思想走深走实，用以武装头脑、指导实践、推动工作。加强政法队伍政治建设，建立政法系统党委（党组）理论学习中心组联学机制和政法领导干部“学习贯彻习近平总书记对政法工作重要指示精神”笔谈活动。加强政法队伍思想建设，开设习近平法治思想讲堂。加强政法队伍能力建设，组织全市政法系统同堂业务培训。二是以党的十二大和省第十二次党代会营造安全稳定的社会环境为主线，全力维护政治安全和社会稳定，确保“五个不发生”工作目标。三是进一步完善平安建设领导小组，压实各级党委政府属地责任、职能部门工作责任、各单位主体责任，推动更高水平的平安鄂州建设，推进平安建设工作重心下移、力量下沉。加快建设市级综治中心，推进市域社会治理现代化试点工作。常态化开展扫黑除恶斗争，深入开展行业领域专项整治，推动扫黑除恶常治长效。四是持续优化法治化营商环境，深入推进更高水平法治鄂州建设。推进全国法治政府建设示范市的建设，</w:t>
      </w:r>
      <w:r>
        <w:rPr>
          <w:rFonts w:hint="eastAsia" w:ascii="仿宋" w:hAnsi="仿宋" w:eastAsia="仿宋" w:cs="仿宋"/>
          <w:sz w:val="30"/>
          <w:szCs w:val="30"/>
        </w:rPr>
        <w:t>高标准、高质量、高效率开展创建工作</w:t>
      </w:r>
      <w:r>
        <w:rPr>
          <w:rFonts w:hint="eastAsia" w:ascii="仿宋" w:hAnsi="仿宋" w:eastAsia="仿宋" w:cs="仿宋"/>
          <w:sz w:val="30"/>
          <w:szCs w:val="30"/>
          <w:lang w:eastAsia="zh-CN"/>
        </w:rPr>
        <w:t>，不断</w:t>
      </w:r>
      <w:r>
        <w:rPr>
          <w:rFonts w:hint="eastAsia" w:ascii="仿宋" w:hAnsi="仿宋" w:eastAsia="仿宋" w:cs="仿宋"/>
          <w:sz w:val="30"/>
          <w:szCs w:val="30"/>
        </w:rPr>
        <w:t>强化法治思维，浓厚</w:t>
      </w:r>
      <w:r>
        <w:rPr>
          <w:rFonts w:hint="eastAsia" w:ascii="仿宋" w:hAnsi="仿宋" w:eastAsia="仿宋" w:cs="仿宋"/>
          <w:sz w:val="30"/>
          <w:szCs w:val="30"/>
          <w:lang w:eastAsia="zh-CN"/>
        </w:rPr>
        <w:t>法律意识</w:t>
      </w:r>
      <w:r>
        <w:rPr>
          <w:rFonts w:hint="eastAsia" w:ascii="仿宋" w:hAnsi="仿宋" w:eastAsia="仿宋" w:cs="仿宋"/>
          <w:sz w:val="30"/>
          <w:szCs w:val="30"/>
        </w:rPr>
        <w:t>，全面提升社会</w:t>
      </w:r>
      <w:r>
        <w:rPr>
          <w:rFonts w:hint="eastAsia" w:ascii="仿宋" w:hAnsi="仿宋" w:eastAsia="仿宋" w:cs="仿宋"/>
          <w:sz w:val="30"/>
          <w:szCs w:val="30"/>
          <w:lang w:eastAsia="zh-CN"/>
        </w:rPr>
        <w:t>面</w:t>
      </w:r>
      <w:r>
        <w:rPr>
          <w:rFonts w:hint="eastAsia" w:ascii="仿宋" w:hAnsi="仿宋" w:eastAsia="仿宋" w:cs="仿宋"/>
          <w:sz w:val="30"/>
          <w:szCs w:val="30"/>
        </w:rPr>
        <w:t>的法治素</w:t>
      </w:r>
      <w:r>
        <w:rPr>
          <w:rFonts w:hint="eastAsia" w:ascii="仿宋" w:hAnsi="仿宋" w:eastAsia="仿宋" w:cs="仿宋"/>
          <w:sz w:val="30"/>
          <w:szCs w:val="30"/>
          <w:lang w:eastAsia="zh-CN"/>
        </w:rPr>
        <w:t>质，推动法治思想入脑入心。</w:t>
      </w:r>
      <w:r>
        <w:rPr>
          <w:rFonts w:hint="eastAsia" w:ascii="仿宋" w:hAnsi="仿宋" w:eastAsia="仿宋" w:cs="仿宋"/>
          <w:sz w:val="30"/>
          <w:szCs w:val="30"/>
          <w:lang w:val="en-US" w:eastAsia="zh-CN"/>
        </w:rPr>
        <w:t>强化执法司法制约监督，依法妥善处置重大敏感案件。扎实开展涉法涉诉信访积案清查化解专项行动，建立12337平台涉法涉诉信访案件常态化交转督办机制。五是加快推进政法智能化建设。坚持高标准建设，不断提升“雪亮工程”交换共享平台及各类公共安全视频监控系统应用和服务能力。组织政法单位赴外考察学习，推进政法智能化建设。六是巩固深化政法队伍教育整顿成果。常态化整治顽瘴痼疾，持续推进政法系统自我革命，打造党和人民信得过靠得住能放心的政法铁军。坚持严管厚爱，定期开展优秀政法干警评选表彰，完善关爱慰问工作机制和政策。常态化开展“我为群众办实事”“我为基层解难题”活动。加强党风廉政建设，持续开展“转作风、提效能、强责任”。加强政法宣传工作，全面展现政法队伍时代风采。</w:t>
      </w:r>
    </w:p>
    <w:p>
      <w:pPr>
        <w:ind w:firstLine="602" w:firstLineChars="200"/>
        <w:rPr>
          <w:rFonts w:hint="eastAsia" w:ascii="仿宋" w:hAnsi="仿宋" w:eastAsia="仿宋" w:cs="仿宋"/>
          <w:sz w:val="30"/>
          <w:szCs w:val="30"/>
        </w:rPr>
      </w:pPr>
      <w:r>
        <w:rPr>
          <w:rFonts w:hint="eastAsia" w:ascii="仿宋" w:hAnsi="仿宋" w:eastAsia="仿宋" w:cs="仿宋"/>
          <w:b/>
          <w:bCs/>
          <w:sz w:val="30"/>
          <w:szCs w:val="30"/>
          <w:lang w:val="en-US" w:eastAsia="zh-CN"/>
        </w:rPr>
        <w:t>3</w:t>
      </w:r>
      <w:r>
        <w:rPr>
          <w:rFonts w:hint="eastAsia" w:ascii="仿宋" w:hAnsi="仿宋" w:eastAsia="仿宋" w:cs="仿宋"/>
          <w:b/>
          <w:bCs/>
          <w:sz w:val="30"/>
          <w:szCs w:val="30"/>
        </w:rPr>
        <w:t>.项目资金情况。</w:t>
      </w:r>
      <w:r>
        <w:rPr>
          <w:rFonts w:hint="eastAsia" w:ascii="仿宋" w:hAnsi="仿宋" w:eastAsia="仿宋" w:cs="仿宋"/>
          <w:sz w:val="30"/>
          <w:szCs w:val="30"/>
          <w:lang w:eastAsia="zh-CN"/>
        </w:rPr>
        <w:t>市委政法委</w:t>
      </w:r>
      <w:r>
        <w:rPr>
          <w:rFonts w:hint="eastAsia" w:ascii="仿宋" w:hAnsi="仿宋" w:eastAsia="仿宋" w:cs="仿宋"/>
          <w:sz w:val="30"/>
          <w:szCs w:val="30"/>
        </w:rPr>
        <w:t>项目支出为常年性项目支出，202</w:t>
      </w:r>
      <w:r>
        <w:rPr>
          <w:rFonts w:hint="eastAsia" w:ascii="仿宋" w:hAnsi="仿宋" w:eastAsia="仿宋" w:cs="仿宋"/>
          <w:sz w:val="30"/>
          <w:szCs w:val="30"/>
          <w:lang w:val="en-US" w:eastAsia="zh-CN"/>
        </w:rPr>
        <w:t>2</w:t>
      </w:r>
      <w:r>
        <w:rPr>
          <w:rFonts w:hint="eastAsia" w:ascii="仿宋" w:hAnsi="仿宋" w:eastAsia="仿宋" w:cs="仿宋"/>
          <w:sz w:val="30"/>
          <w:szCs w:val="30"/>
        </w:rPr>
        <w:t>年预算为</w:t>
      </w:r>
      <w:r>
        <w:rPr>
          <w:rFonts w:hint="eastAsia" w:ascii="仿宋" w:hAnsi="仿宋" w:eastAsia="仿宋" w:cs="仿宋"/>
          <w:sz w:val="30"/>
          <w:szCs w:val="30"/>
          <w:lang w:val="en-US" w:eastAsia="zh-CN"/>
        </w:rPr>
        <w:t>923.02</w:t>
      </w:r>
      <w:r>
        <w:rPr>
          <w:rFonts w:hint="eastAsia" w:ascii="仿宋" w:hAnsi="仿宋" w:eastAsia="仿宋" w:cs="仿宋"/>
          <w:sz w:val="30"/>
          <w:szCs w:val="30"/>
        </w:rPr>
        <w:t>万元，已支出</w:t>
      </w:r>
      <w:r>
        <w:rPr>
          <w:rFonts w:hint="eastAsia" w:ascii="仿宋" w:hAnsi="仿宋" w:eastAsia="仿宋" w:cs="仿宋"/>
          <w:sz w:val="30"/>
          <w:szCs w:val="30"/>
          <w:lang w:val="en-US" w:eastAsia="zh-CN"/>
        </w:rPr>
        <w:t>923.02</w:t>
      </w:r>
      <w:r>
        <w:rPr>
          <w:rFonts w:hint="eastAsia" w:ascii="仿宋" w:hAnsi="仿宋" w:eastAsia="仿宋" w:cs="仿宋"/>
          <w:sz w:val="30"/>
          <w:szCs w:val="30"/>
        </w:rPr>
        <w:t>万元。资金主要来源为市社会治安综合治理</w:t>
      </w:r>
      <w:r>
        <w:rPr>
          <w:rFonts w:hint="eastAsia" w:ascii="仿宋" w:hAnsi="仿宋" w:eastAsia="仿宋" w:cs="仿宋"/>
          <w:sz w:val="30"/>
          <w:szCs w:val="30"/>
          <w:lang w:eastAsia="zh-CN"/>
        </w:rPr>
        <w:t>、政法智能化建设、铁路护路专项工作、综治中心建设管理、维稳反邪政治安全及法治专项工作、开展法学会工作、维稳救助及司法救助资金、开展扫黑除恶、行业部门矛盾纠纷调处</w:t>
      </w:r>
      <w:r>
        <w:rPr>
          <w:rFonts w:hint="eastAsia" w:ascii="仿宋" w:hAnsi="仿宋" w:eastAsia="仿宋" w:cs="仿宋"/>
          <w:sz w:val="30"/>
          <w:szCs w:val="30"/>
        </w:rPr>
        <w:t>等专业业务方面的支出。</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（二）部门自评工作开展情况</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接到工作任务后，</w:t>
      </w:r>
      <w:r>
        <w:rPr>
          <w:rFonts w:hint="eastAsia" w:ascii="仿宋" w:hAnsi="仿宋" w:eastAsia="仿宋" w:cs="仿宋"/>
          <w:sz w:val="30"/>
          <w:szCs w:val="30"/>
          <w:lang w:eastAsia="zh-CN"/>
        </w:rPr>
        <w:t>委</w:t>
      </w:r>
      <w:r>
        <w:rPr>
          <w:rFonts w:hint="eastAsia" w:ascii="仿宋" w:hAnsi="仿宋" w:eastAsia="仿宋" w:cs="仿宋"/>
          <w:sz w:val="30"/>
          <w:szCs w:val="30"/>
        </w:rPr>
        <w:t>领导高度重视，统筹安排，由</w:t>
      </w:r>
      <w:r>
        <w:rPr>
          <w:rFonts w:hint="eastAsia" w:ascii="仿宋" w:hAnsi="仿宋" w:eastAsia="仿宋" w:cs="仿宋"/>
          <w:sz w:val="30"/>
          <w:szCs w:val="30"/>
          <w:lang w:eastAsia="zh-CN"/>
        </w:rPr>
        <w:t>办公室</w:t>
      </w:r>
      <w:r>
        <w:rPr>
          <w:rFonts w:hint="eastAsia" w:ascii="仿宋" w:hAnsi="仿宋" w:eastAsia="仿宋" w:cs="仿宋"/>
          <w:sz w:val="30"/>
          <w:szCs w:val="30"/>
        </w:rPr>
        <w:t>牵头负责，将项目分解至各个</w:t>
      </w:r>
      <w:r>
        <w:rPr>
          <w:rFonts w:hint="eastAsia" w:ascii="仿宋" w:hAnsi="仿宋" w:eastAsia="仿宋" w:cs="仿宋"/>
          <w:sz w:val="30"/>
          <w:szCs w:val="30"/>
          <w:lang w:eastAsia="zh-CN"/>
        </w:rPr>
        <w:t>业务科室</w:t>
      </w:r>
      <w:r>
        <w:rPr>
          <w:rFonts w:hint="eastAsia" w:ascii="仿宋" w:hAnsi="仿宋" w:eastAsia="仿宋" w:cs="仿宋"/>
          <w:sz w:val="30"/>
          <w:szCs w:val="30"/>
        </w:rPr>
        <w:t>，由各</w:t>
      </w:r>
      <w:r>
        <w:rPr>
          <w:rFonts w:hint="eastAsia" w:ascii="仿宋" w:hAnsi="仿宋" w:eastAsia="仿宋" w:cs="仿宋"/>
          <w:sz w:val="30"/>
          <w:szCs w:val="30"/>
          <w:lang w:eastAsia="zh-CN"/>
        </w:rPr>
        <w:t>业务科室</w:t>
      </w:r>
      <w:r>
        <w:rPr>
          <w:rFonts w:hint="eastAsia" w:ascii="仿宋" w:hAnsi="仿宋" w:eastAsia="仿宋" w:cs="仿宋"/>
          <w:sz w:val="30"/>
          <w:szCs w:val="30"/>
        </w:rPr>
        <w:t>对照年初制定的绩效目标，针对自己所完成情况如实打分，将评价情况由</w:t>
      </w:r>
      <w:r>
        <w:rPr>
          <w:rFonts w:hint="eastAsia" w:ascii="仿宋" w:hAnsi="仿宋" w:eastAsia="仿宋" w:cs="仿宋"/>
          <w:sz w:val="30"/>
          <w:szCs w:val="30"/>
          <w:lang w:eastAsia="zh-CN"/>
        </w:rPr>
        <w:t>财务人员</w:t>
      </w:r>
      <w:r>
        <w:rPr>
          <w:rFonts w:hint="eastAsia" w:ascii="仿宋" w:hAnsi="仿宋" w:eastAsia="仿宋" w:cs="仿宋"/>
          <w:sz w:val="30"/>
          <w:szCs w:val="30"/>
        </w:rPr>
        <w:t>汇总，按权重进行总体评价打分，最后将评价结果反馈至各</w:t>
      </w:r>
      <w:r>
        <w:rPr>
          <w:rFonts w:hint="eastAsia" w:ascii="仿宋" w:hAnsi="仿宋" w:eastAsia="仿宋" w:cs="仿宋"/>
          <w:sz w:val="30"/>
          <w:szCs w:val="30"/>
          <w:lang w:eastAsia="zh-CN"/>
        </w:rPr>
        <w:t>科室</w:t>
      </w:r>
      <w:r>
        <w:rPr>
          <w:rFonts w:hint="eastAsia" w:ascii="仿宋" w:hAnsi="仿宋" w:eastAsia="仿宋" w:cs="仿宋"/>
          <w:sz w:val="30"/>
          <w:szCs w:val="30"/>
        </w:rPr>
        <w:t>，以评价结果反馈其工作实绩，作为第二年预算编制的参照。</w:t>
      </w:r>
    </w:p>
    <w:p>
      <w:pPr>
        <w:numPr>
          <w:ilvl w:val="0"/>
          <w:numId w:val="1"/>
        </w:numPr>
        <w:ind w:left="638" w:leftChars="304" w:firstLine="0" w:firstLineChars="0"/>
        <w:rPr>
          <w:rFonts w:hint="eastAsia" w:ascii="仿宋" w:hAnsi="仿宋" w:eastAsia="仿宋" w:cs="仿宋"/>
          <w:sz w:val="30"/>
          <w:szCs w:val="30"/>
        </w:rPr>
      </w:pPr>
      <w:r>
        <w:rPr>
          <w:rFonts w:hint="eastAsia" w:ascii="仿宋" w:hAnsi="仿宋" w:eastAsia="仿宋" w:cs="仿宋"/>
          <w:sz w:val="30"/>
          <w:szCs w:val="30"/>
        </w:rPr>
        <w:t>绩效目标完成情况分析</w:t>
      </w:r>
    </w:p>
    <w:p>
      <w:pPr>
        <w:numPr>
          <w:ilvl w:val="0"/>
          <w:numId w:val="0"/>
        </w:numPr>
        <w:ind w:firstLine="600" w:firstLineChars="200"/>
        <w:rPr>
          <w:rFonts w:hint="eastAsia" w:ascii="仿宋" w:hAnsi="仿宋" w:eastAsia="仿宋" w:cs="仿宋"/>
          <w:sz w:val="30"/>
          <w:szCs w:val="30"/>
        </w:rPr>
      </w:pPr>
      <w:r>
        <w:rPr>
          <w:rFonts w:hint="eastAsia" w:ascii="仿宋" w:hAnsi="仿宋" w:eastAsia="仿宋" w:cs="仿宋"/>
          <w:sz w:val="30"/>
          <w:szCs w:val="30"/>
        </w:rPr>
        <w:t>1.预算执行情况分析。我</w:t>
      </w:r>
      <w:r>
        <w:rPr>
          <w:rFonts w:hint="eastAsia" w:ascii="仿宋" w:hAnsi="仿宋" w:eastAsia="仿宋" w:cs="仿宋"/>
          <w:sz w:val="30"/>
          <w:szCs w:val="30"/>
          <w:lang w:eastAsia="zh-CN"/>
        </w:rPr>
        <w:t>委</w:t>
      </w:r>
      <w:r>
        <w:rPr>
          <w:rFonts w:hint="eastAsia" w:ascii="仿宋" w:hAnsi="仿宋" w:eastAsia="仿宋" w:cs="仿宋"/>
          <w:sz w:val="30"/>
          <w:szCs w:val="30"/>
        </w:rPr>
        <w:t>202</w:t>
      </w:r>
      <w:r>
        <w:rPr>
          <w:rFonts w:hint="eastAsia" w:ascii="仿宋" w:hAnsi="仿宋" w:eastAsia="仿宋" w:cs="仿宋"/>
          <w:sz w:val="30"/>
          <w:szCs w:val="30"/>
          <w:lang w:val="en-US" w:eastAsia="zh-CN"/>
        </w:rPr>
        <w:t>2</w:t>
      </w:r>
      <w:r>
        <w:rPr>
          <w:rFonts w:hint="eastAsia" w:ascii="仿宋" w:hAnsi="仿宋" w:eastAsia="仿宋" w:cs="仿宋"/>
          <w:sz w:val="30"/>
          <w:szCs w:val="30"/>
        </w:rPr>
        <w:t>年</w:t>
      </w:r>
      <w:r>
        <w:rPr>
          <w:rFonts w:hint="eastAsia" w:ascii="仿宋" w:hAnsi="仿宋" w:eastAsia="仿宋" w:cs="仿宋"/>
          <w:sz w:val="30"/>
          <w:szCs w:val="30"/>
          <w:lang w:eastAsia="zh-CN"/>
        </w:rPr>
        <w:t>年初总</w:t>
      </w:r>
      <w:r>
        <w:rPr>
          <w:rFonts w:hint="eastAsia" w:ascii="仿宋" w:hAnsi="仿宋" w:eastAsia="仿宋" w:cs="仿宋"/>
          <w:sz w:val="30"/>
          <w:szCs w:val="30"/>
        </w:rPr>
        <w:t>预算为</w:t>
      </w:r>
      <w:r>
        <w:rPr>
          <w:rFonts w:hint="eastAsia" w:ascii="仿宋" w:hAnsi="仿宋" w:eastAsia="仿宋" w:cs="仿宋"/>
          <w:sz w:val="30"/>
          <w:szCs w:val="30"/>
          <w:lang w:val="en-US" w:eastAsia="zh-CN"/>
        </w:rPr>
        <w:t>4540.31</w:t>
      </w:r>
      <w:r>
        <w:rPr>
          <w:rFonts w:hint="eastAsia" w:ascii="仿宋" w:hAnsi="仿宋" w:eastAsia="仿宋" w:cs="仿宋"/>
          <w:sz w:val="30"/>
          <w:szCs w:val="30"/>
        </w:rPr>
        <w:t>万元，完成支出</w:t>
      </w:r>
      <w:r>
        <w:rPr>
          <w:rFonts w:hint="eastAsia" w:ascii="仿宋" w:hAnsi="仿宋" w:eastAsia="仿宋" w:cs="仿宋"/>
          <w:sz w:val="30"/>
          <w:szCs w:val="30"/>
          <w:lang w:val="en-US" w:eastAsia="zh-CN"/>
        </w:rPr>
        <w:t>1565.63</w:t>
      </w:r>
      <w:r>
        <w:rPr>
          <w:rFonts w:hint="eastAsia" w:ascii="仿宋" w:hAnsi="仿宋" w:eastAsia="仿宋" w:cs="仿宋"/>
          <w:sz w:val="30"/>
          <w:szCs w:val="30"/>
        </w:rPr>
        <w:t>万元。其中，基本支出的人员经费预算</w:t>
      </w:r>
      <w:r>
        <w:rPr>
          <w:rFonts w:hint="eastAsia" w:ascii="仿宋" w:hAnsi="仿宋" w:eastAsia="仿宋" w:cs="仿宋"/>
          <w:sz w:val="30"/>
          <w:szCs w:val="30"/>
          <w:lang w:val="en-US" w:eastAsia="zh-CN"/>
        </w:rPr>
        <w:t>681.96</w:t>
      </w:r>
      <w:r>
        <w:rPr>
          <w:rFonts w:hint="eastAsia" w:ascii="仿宋" w:hAnsi="仿宋" w:eastAsia="仿宋" w:cs="仿宋"/>
          <w:sz w:val="30"/>
          <w:szCs w:val="30"/>
        </w:rPr>
        <w:t>万元，实际支出</w:t>
      </w:r>
      <w:r>
        <w:rPr>
          <w:rFonts w:hint="eastAsia" w:ascii="仿宋" w:hAnsi="仿宋" w:eastAsia="仿宋" w:cs="仿宋"/>
          <w:sz w:val="30"/>
          <w:szCs w:val="30"/>
          <w:lang w:val="en-US" w:eastAsia="zh-CN"/>
        </w:rPr>
        <w:t>604.69</w:t>
      </w:r>
      <w:r>
        <w:rPr>
          <w:rFonts w:hint="eastAsia" w:ascii="仿宋" w:hAnsi="仿宋" w:eastAsia="仿宋" w:cs="仿宋"/>
          <w:sz w:val="30"/>
          <w:szCs w:val="30"/>
        </w:rPr>
        <w:t>万元，执行率</w:t>
      </w:r>
      <w:r>
        <w:rPr>
          <w:rFonts w:hint="eastAsia" w:ascii="仿宋" w:hAnsi="仿宋" w:eastAsia="仿宋" w:cs="仿宋"/>
          <w:sz w:val="30"/>
          <w:szCs w:val="30"/>
          <w:lang w:val="en-US" w:eastAsia="zh-CN"/>
        </w:rPr>
        <w:t>88.67</w:t>
      </w:r>
      <w:r>
        <w:rPr>
          <w:rFonts w:hint="eastAsia" w:ascii="仿宋" w:hAnsi="仿宋" w:eastAsia="仿宋" w:cs="仿宋"/>
          <w:sz w:val="30"/>
          <w:szCs w:val="30"/>
        </w:rPr>
        <w:t>%；项目支出预算</w:t>
      </w:r>
      <w:r>
        <w:rPr>
          <w:rFonts w:hint="eastAsia" w:ascii="仿宋" w:hAnsi="仿宋" w:eastAsia="仿宋" w:cs="仿宋"/>
          <w:sz w:val="30"/>
          <w:szCs w:val="30"/>
          <w:lang w:val="en-US" w:eastAsia="zh-CN"/>
        </w:rPr>
        <w:t>923.02</w:t>
      </w:r>
      <w:r>
        <w:rPr>
          <w:rFonts w:hint="eastAsia" w:ascii="仿宋" w:hAnsi="仿宋" w:eastAsia="仿宋" w:cs="仿宋"/>
          <w:sz w:val="30"/>
          <w:szCs w:val="30"/>
        </w:rPr>
        <w:t>万元，实际支出</w:t>
      </w:r>
      <w:r>
        <w:rPr>
          <w:rFonts w:hint="eastAsia" w:ascii="仿宋" w:hAnsi="仿宋" w:eastAsia="仿宋" w:cs="仿宋"/>
          <w:sz w:val="30"/>
          <w:szCs w:val="30"/>
          <w:lang w:val="en-US" w:eastAsia="zh-CN"/>
        </w:rPr>
        <w:t>923.02</w:t>
      </w:r>
      <w:r>
        <w:rPr>
          <w:rFonts w:hint="eastAsia" w:ascii="仿宋" w:hAnsi="仿宋" w:eastAsia="仿宋" w:cs="仿宋"/>
          <w:sz w:val="30"/>
          <w:szCs w:val="30"/>
        </w:rPr>
        <w:t>万元，执行率</w:t>
      </w:r>
      <w:r>
        <w:rPr>
          <w:rFonts w:hint="eastAsia" w:ascii="仿宋" w:hAnsi="仿宋" w:eastAsia="仿宋" w:cs="仿宋"/>
          <w:sz w:val="30"/>
          <w:szCs w:val="30"/>
          <w:lang w:val="en-US" w:eastAsia="zh-CN"/>
        </w:rPr>
        <w:t>100</w:t>
      </w:r>
      <w:r>
        <w:rPr>
          <w:rFonts w:hint="eastAsia" w:ascii="仿宋" w:hAnsi="仿宋" w:eastAsia="仿宋" w:cs="仿宋"/>
          <w:sz w:val="30"/>
          <w:szCs w:val="30"/>
        </w:rPr>
        <w:t>%。</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2.绩效目标完成情况分析</w:t>
      </w:r>
    </w:p>
    <w:p>
      <w:pPr>
        <w:ind w:firstLine="600" w:firstLineChars="200"/>
        <w:rPr>
          <w:rFonts w:hint="eastAsia" w:ascii="仿宋_GB2312" w:hAnsi="仿宋_GB2312" w:eastAsia="仿宋_GB2312" w:cs="仿宋_GB2312"/>
          <w:sz w:val="32"/>
          <w:szCs w:val="32"/>
          <w:lang w:val="en-US" w:eastAsia="zh-CN"/>
        </w:rPr>
      </w:pPr>
      <w:r>
        <w:rPr>
          <w:rFonts w:hint="eastAsia" w:ascii="仿宋" w:hAnsi="仿宋" w:eastAsia="仿宋" w:cs="仿宋"/>
          <w:sz w:val="30"/>
          <w:szCs w:val="30"/>
        </w:rPr>
        <w:t>（1）产出指标完成情况分析。</w:t>
      </w:r>
      <w:r>
        <w:rPr>
          <w:rFonts w:hint="eastAsia" w:ascii="仿宋_GB2312" w:hAnsi="仿宋_GB2312" w:eastAsia="仿宋_GB2312" w:cs="仿宋_GB2312"/>
          <w:sz w:val="32"/>
          <w:szCs w:val="32"/>
          <w:lang w:eastAsia="zh-CN"/>
        </w:rPr>
        <w:t>研讨黑恶案件新问题、新动态、新趋势及常态化防范举措，优化经济环境，群众安全感、幸福感、满意度持续提升。宣传人数</w:t>
      </w:r>
      <w:r>
        <w:rPr>
          <w:rFonts w:hint="eastAsia" w:ascii="仿宋_GB2312" w:hAnsi="仿宋_GB2312" w:eastAsia="仿宋_GB2312" w:cs="仿宋_GB2312"/>
          <w:sz w:val="32"/>
          <w:szCs w:val="32"/>
          <w:lang w:val="en-US" w:eastAsia="zh-CN"/>
        </w:rPr>
        <w:t>100万人次、新闻媒体专栏10个，召开研讨会10次。挂牌整治不少于5个地区。日常综治考核不少于2次。救助重点维稳对象35人次，每月下基层开展专项督查不少于3次。</w:t>
      </w:r>
      <w:r>
        <w:rPr>
          <w:rFonts w:hint="default" w:ascii="仿宋_GB2312" w:hAnsi="仿宋_GB2312" w:eastAsia="仿宋_GB2312" w:cs="仿宋_GB2312"/>
          <w:sz w:val="32"/>
          <w:szCs w:val="32"/>
          <w:lang w:val="en-US" w:eastAsia="zh-CN"/>
        </w:rPr>
        <w:t>调解各类民事纠纷不少于1500起</w:t>
      </w:r>
      <w:r>
        <w:rPr>
          <w:rFonts w:hint="eastAsia" w:ascii="仿宋_GB2312" w:hAnsi="仿宋_GB2312" w:eastAsia="仿宋_GB2312" w:cs="仿宋_GB2312"/>
          <w:sz w:val="32"/>
          <w:szCs w:val="32"/>
          <w:lang w:val="en-US" w:eastAsia="zh-CN"/>
        </w:rPr>
        <w:t>。法律援助案件结案率80%。</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rPr>
        <w:t>（2）效益指标完成情况分析。</w:t>
      </w:r>
      <w:r>
        <w:rPr>
          <w:rFonts w:hint="eastAsia" w:ascii="仿宋" w:hAnsi="仿宋" w:eastAsia="仿宋" w:cs="仿宋"/>
          <w:sz w:val="30"/>
          <w:szCs w:val="30"/>
          <w:lang w:val="en-US" w:eastAsia="zh-CN"/>
        </w:rPr>
        <w:t>提高公正执法满意度、社会面无黑恶势力，优化经济环境，确保社会经济正常有序发展。打造政法协同办案工作室，提升政法部门办案协同工作效率。督查检查铁路隐患整改，全市26个乡镇联通政法专网，建立健全网上网下联动机制。</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（3）满意度指标完成情况分析。</w:t>
      </w:r>
      <w:r>
        <w:rPr>
          <w:rFonts w:hint="eastAsia" w:ascii="仿宋" w:hAnsi="仿宋" w:eastAsia="仿宋" w:cs="仿宋"/>
          <w:sz w:val="30"/>
          <w:szCs w:val="30"/>
          <w:lang w:eastAsia="zh-CN"/>
        </w:rPr>
        <w:t>社会治安持续向好，群众安全感、幸福感、满意度持续提升，</w:t>
      </w:r>
      <w:r>
        <w:rPr>
          <w:rFonts w:hint="default" w:ascii="仿宋" w:hAnsi="仿宋" w:eastAsia="仿宋" w:cs="仿宋"/>
          <w:sz w:val="30"/>
          <w:szCs w:val="30"/>
          <w:lang w:val="en-US" w:eastAsia="zh-CN"/>
        </w:rPr>
        <w:t>涉法涉诉案件减少，满意度持续提升</w:t>
      </w:r>
      <w:r>
        <w:rPr>
          <w:rFonts w:hint="eastAsia" w:ascii="仿宋" w:hAnsi="仿宋" w:eastAsia="仿宋" w:cs="仿宋"/>
          <w:sz w:val="30"/>
          <w:szCs w:val="30"/>
          <w:lang w:val="en-US" w:eastAsia="zh-CN"/>
        </w:rPr>
        <w:t>，</w:t>
      </w:r>
      <w:r>
        <w:rPr>
          <w:rFonts w:hint="default" w:ascii="仿宋" w:hAnsi="仿宋" w:eastAsia="仿宋" w:cs="仿宋"/>
          <w:sz w:val="30"/>
          <w:szCs w:val="30"/>
          <w:lang w:val="en-US" w:eastAsia="zh-CN"/>
        </w:rPr>
        <w:t>建立健全“1+N”矛盾纠纷调处平台，调处化解各类矛盾纠纷。</w:t>
      </w:r>
      <w:r>
        <w:rPr>
          <w:rFonts w:hint="eastAsia" w:ascii="仿宋" w:hAnsi="仿宋" w:eastAsia="仿宋" w:cs="仿宋"/>
          <w:sz w:val="30"/>
          <w:szCs w:val="30"/>
        </w:rPr>
        <w:t>政法智能化建设</w:t>
      </w:r>
      <w:r>
        <w:rPr>
          <w:rFonts w:hint="eastAsia" w:ascii="仿宋" w:hAnsi="仿宋" w:eastAsia="仿宋" w:cs="仿宋"/>
          <w:sz w:val="30"/>
          <w:szCs w:val="30"/>
          <w:lang w:eastAsia="zh-CN"/>
        </w:rPr>
        <w:t>系统</w:t>
      </w:r>
      <w:r>
        <w:rPr>
          <w:rFonts w:hint="eastAsia" w:ascii="仿宋" w:hAnsi="仿宋" w:eastAsia="仿宋" w:cs="仿宋"/>
          <w:sz w:val="30"/>
          <w:szCs w:val="30"/>
        </w:rPr>
        <w:t>使用人员</w:t>
      </w:r>
      <w:r>
        <w:rPr>
          <w:rFonts w:hint="eastAsia" w:ascii="仿宋" w:hAnsi="仿宋" w:eastAsia="仿宋" w:cs="仿宋"/>
          <w:sz w:val="30"/>
          <w:szCs w:val="30"/>
          <w:lang w:eastAsia="zh-CN"/>
        </w:rPr>
        <w:t>满意，</w:t>
      </w:r>
      <w:r>
        <w:rPr>
          <w:rFonts w:hint="eastAsia" w:ascii="仿宋" w:hAnsi="仿宋" w:eastAsia="仿宋" w:cs="仿宋"/>
          <w:sz w:val="30"/>
          <w:szCs w:val="30"/>
        </w:rPr>
        <w:t>服务企业、群众满意度达100%。</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（四）上年度部门自评结果应用情况</w:t>
      </w:r>
    </w:p>
    <w:p>
      <w:pPr>
        <w:rPr>
          <w:rFonts w:hint="eastAsia" w:ascii="仿宋" w:hAnsi="仿宋" w:eastAsia="仿宋" w:cs="仿宋"/>
          <w:sz w:val="30"/>
          <w:szCs w:val="30"/>
        </w:rPr>
      </w:pPr>
      <w:r>
        <w:rPr>
          <w:rFonts w:hint="eastAsia" w:ascii="仿宋" w:hAnsi="仿宋" w:eastAsia="仿宋" w:cs="仿宋"/>
          <w:sz w:val="30"/>
          <w:szCs w:val="30"/>
        </w:rPr>
        <w:t>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通过对我</w:t>
      </w:r>
      <w:r>
        <w:rPr>
          <w:rFonts w:hint="eastAsia" w:ascii="仿宋" w:hAnsi="仿宋" w:eastAsia="仿宋" w:cs="仿宋"/>
          <w:sz w:val="30"/>
          <w:szCs w:val="30"/>
          <w:lang w:val="en-US" w:eastAsia="zh-CN"/>
        </w:rPr>
        <w:t>委</w:t>
      </w:r>
      <w:r>
        <w:rPr>
          <w:rFonts w:hint="eastAsia" w:ascii="仿宋" w:hAnsi="仿宋" w:eastAsia="仿宋" w:cs="仿宋"/>
          <w:sz w:val="30"/>
          <w:szCs w:val="30"/>
        </w:rPr>
        <w:t>整体支出进行绩效评价，进一步的了解了我</w:t>
      </w:r>
      <w:r>
        <w:rPr>
          <w:rFonts w:hint="eastAsia" w:ascii="仿宋" w:hAnsi="仿宋" w:eastAsia="仿宋" w:cs="仿宋"/>
          <w:sz w:val="30"/>
          <w:szCs w:val="30"/>
          <w:lang w:eastAsia="zh-CN"/>
        </w:rPr>
        <w:t>委</w:t>
      </w:r>
      <w:r>
        <w:rPr>
          <w:rFonts w:hint="eastAsia" w:ascii="仿宋" w:hAnsi="仿宋" w:eastAsia="仿宋" w:cs="仿宋"/>
          <w:sz w:val="30"/>
          <w:szCs w:val="30"/>
        </w:rPr>
        <w:t>整体资金安排的相关情况，吸取了202</w:t>
      </w:r>
      <w:r>
        <w:rPr>
          <w:rFonts w:hint="eastAsia" w:ascii="仿宋" w:hAnsi="仿宋" w:eastAsia="仿宋" w:cs="仿宋"/>
          <w:sz w:val="30"/>
          <w:szCs w:val="30"/>
          <w:lang w:val="en-US" w:eastAsia="zh-CN"/>
        </w:rPr>
        <w:t>2</w:t>
      </w:r>
      <w:r>
        <w:rPr>
          <w:rFonts w:hint="eastAsia" w:ascii="仿宋" w:hAnsi="仿宋" w:eastAsia="仿宋" w:cs="仿宋"/>
          <w:sz w:val="30"/>
          <w:szCs w:val="30"/>
        </w:rPr>
        <w:t>年整体支出绩效评价的经验和教训，对202</w:t>
      </w:r>
      <w:r>
        <w:rPr>
          <w:rFonts w:hint="eastAsia" w:ascii="仿宋" w:hAnsi="仿宋" w:eastAsia="仿宋" w:cs="仿宋"/>
          <w:sz w:val="30"/>
          <w:szCs w:val="30"/>
          <w:lang w:val="en-US" w:eastAsia="zh-CN"/>
        </w:rPr>
        <w:t>3</w:t>
      </w:r>
      <w:r>
        <w:rPr>
          <w:rFonts w:hint="eastAsia" w:ascii="仿宋" w:hAnsi="仿宋" w:eastAsia="仿宋" w:cs="仿宋"/>
          <w:sz w:val="30"/>
          <w:szCs w:val="30"/>
        </w:rPr>
        <w:t>年度预算安排具有指导性意义。</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2.下一步改进措施</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对项目资金开支分类需要进一步科学化、规范化。</w:t>
      </w:r>
    </w:p>
    <w:p>
      <w:pPr>
        <w:rPr>
          <w:rFonts w:hint="eastAsia" w:ascii="仿宋" w:hAnsi="仿宋" w:eastAsia="仿宋" w:cs="仿宋"/>
          <w:sz w:val="30"/>
          <w:szCs w:val="30"/>
        </w:rPr>
      </w:pPr>
      <w:r>
        <w:rPr>
          <w:rFonts w:hint="eastAsia" w:ascii="仿宋" w:hAnsi="仿宋" w:eastAsia="仿宋" w:cs="仿宋"/>
          <w:sz w:val="30"/>
          <w:szCs w:val="30"/>
        </w:rPr>
        <w:t>　　1.加强预算管理。严格遵守《预算法》的规定，合理编制单位预算，严格按照部门预算支出经费，加强本单位预算支出管理，规范支出行为；加强资产管理，维护资产安全完整。</w:t>
      </w:r>
    </w:p>
    <w:p>
      <w:pPr>
        <w:rPr>
          <w:rFonts w:hint="eastAsia" w:ascii="仿宋" w:hAnsi="仿宋" w:eastAsia="仿宋" w:cs="仿宋"/>
          <w:sz w:val="30"/>
          <w:szCs w:val="30"/>
        </w:rPr>
      </w:pPr>
      <w:r>
        <w:rPr>
          <w:rFonts w:hint="eastAsia" w:ascii="仿宋" w:hAnsi="仿宋" w:eastAsia="仿宋" w:cs="仿宋"/>
          <w:sz w:val="30"/>
          <w:szCs w:val="30"/>
        </w:rPr>
        <w:t>　　2.加强内部控制和</w:t>
      </w:r>
      <w:r>
        <w:rPr>
          <w:rFonts w:hint="eastAsia" w:ascii="仿宋" w:hAnsi="仿宋" w:eastAsia="仿宋" w:cs="仿宋"/>
          <w:sz w:val="30"/>
          <w:szCs w:val="30"/>
          <w:lang w:eastAsia="zh-CN"/>
        </w:rPr>
        <w:t>项目资金</w:t>
      </w:r>
      <w:r>
        <w:rPr>
          <w:rFonts w:hint="eastAsia" w:ascii="仿宋" w:hAnsi="仿宋" w:eastAsia="仿宋" w:cs="仿宋"/>
          <w:sz w:val="30"/>
          <w:szCs w:val="30"/>
        </w:rPr>
        <w:t>的监管。完善内部控制制度，加强对</w:t>
      </w:r>
      <w:r>
        <w:rPr>
          <w:rFonts w:hint="eastAsia" w:ascii="仿宋" w:hAnsi="仿宋" w:eastAsia="仿宋" w:cs="仿宋"/>
          <w:sz w:val="30"/>
          <w:szCs w:val="30"/>
          <w:lang w:eastAsia="zh-CN"/>
        </w:rPr>
        <w:t>项目资金</w:t>
      </w:r>
      <w:r>
        <w:rPr>
          <w:rFonts w:hint="eastAsia" w:ascii="仿宋" w:hAnsi="仿宋" w:eastAsia="仿宋" w:cs="仿宋"/>
          <w:sz w:val="30"/>
          <w:szCs w:val="30"/>
        </w:rPr>
        <w:t>预算执行、财政财务收支、项目实施等方面的监督检查，督促</w:t>
      </w:r>
      <w:r>
        <w:rPr>
          <w:rFonts w:hint="eastAsia" w:ascii="仿宋" w:hAnsi="仿宋" w:eastAsia="仿宋" w:cs="仿宋"/>
          <w:sz w:val="30"/>
          <w:szCs w:val="30"/>
          <w:lang w:eastAsia="zh-CN"/>
        </w:rPr>
        <w:t>各业务科室</w:t>
      </w:r>
      <w:r>
        <w:rPr>
          <w:rFonts w:hint="eastAsia" w:ascii="仿宋" w:hAnsi="仿宋" w:eastAsia="仿宋" w:cs="仿宋"/>
          <w:sz w:val="30"/>
          <w:szCs w:val="30"/>
        </w:rPr>
        <w:t>规范财务收支行为，严格执行国家财经纪律法规。</w:t>
      </w:r>
    </w:p>
    <w:p>
      <w:pPr>
        <w:rPr>
          <w:rFonts w:hint="eastAsia" w:ascii="仿宋" w:hAnsi="仿宋" w:eastAsia="仿宋" w:cs="仿宋"/>
          <w:kern w:val="0"/>
          <w:sz w:val="20"/>
          <w:szCs w:val="20"/>
          <w:lang w:eastAsia="zh-CN"/>
        </w:rPr>
        <w:sectPr>
          <w:footerReference r:id="rId3" w:type="default"/>
          <w:footerReference r:id="rId4" w:type="even"/>
          <w:pgSz w:w="11906" w:h="16838"/>
          <w:pgMar w:top="1985" w:right="1588" w:bottom="1814" w:left="1588" w:header="851" w:footer="1247" w:gutter="0"/>
          <w:pgNumType w:fmt="decimal"/>
          <w:cols w:space="720" w:num="1"/>
          <w:docGrid w:type="lines" w:linePitch="312" w:charSpace="0"/>
        </w:sectPr>
      </w:pPr>
      <w:r>
        <w:rPr>
          <w:rFonts w:hint="eastAsia" w:ascii="仿宋" w:hAnsi="仿宋" w:eastAsia="仿宋" w:cs="仿宋"/>
          <w:sz w:val="30"/>
          <w:szCs w:val="30"/>
        </w:rPr>
        <w:t>　　3.加强资金使用进度，提高资金使用效率。督促项目单位加快项目工程实施进度，及时将资金进行分配使用，避免结存大量资金</w:t>
      </w:r>
      <w:r>
        <w:rPr>
          <w:rFonts w:hint="eastAsia" w:ascii="仿宋" w:hAnsi="仿宋" w:eastAsia="仿宋" w:cs="仿宋"/>
          <w:sz w:val="30"/>
          <w:szCs w:val="30"/>
          <w:lang w:eastAsia="zh-CN"/>
        </w:rPr>
        <w:t>。</w:t>
      </w:r>
    </w:p>
    <w:p>
      <w:pPr>
        <w:rPr>
          <w:rFonts w:hint="eastAsia" w:ascii="宋体" w:hAnsi="宋体" w:eastAsia="宋体" w:cs="宋体"/>
          <w:b w:val="0"/>
          <w:bCs w:val="0"/>
          <w:color w:val="auto"/>
          <w:kern w:val="0"/>
          <w:sz w:val="30"/>
          <w:szCs w:val="30"/>
        </w:rPr>
      </w:pPr>
      <w:r>
        <w:rPr>
          <w:rFonts w:hint="eastAsia" w:ascii="宋体" w:hAnsi="宋体" w:eastAsia="宋体" w:cs="宋体"/>
          <w:b w:val="0"/>
          <w:bCs w:val="0"/>
          <w:color w:val="auto"/>
          <w:kern w:val="0"/>
          <w:sz w:val="30"/>
          <w:szCs w:val="30"/>
        </w:rPr>
        <w:t>附件</w:t>
      </w:r>
      <w:r>
        <w:rPr>
          <w:rFonts w:hint="eastAsia" w:ascii="宋体" w:hAnsi="宋体" w:eastAsia="宋体" w:cs="宋体"/>
          <w:b w:val="0"/>
          <w:bCs w:val="0"/>
          <w:color w:val="auto"/>
          <w:kern w:val="0"/>
          <w:sz w:val="30"/>
          <w:szCs w:val="30"/>
          <w:lang w:val="en-US" w:eastAsia="zh-CN"/>
        </w:rPr>
        <w:t>3</w:t>
      </w:r>
      <w:r>
        <w:rPr>
          <w:rFonts w:hint="eastAsia" w:ascii="宋体" w:hAnsi="宋体" w:eastAsia="宋体" w:cs="宋体"/>
          <w:b w:val="0"/>
          <w:bCs w:val="0"/>
          <w:color w:val="auto"/>
          <w:kern w:val="0"/>
          <w:sz w:val="30"/>
          <w:szCs w:val="30"/>
        </w:rPr>
        <w:t>.</w:t>
      </w:r>
    </w:p>
    <w:p>
      <w:pPr>
        <w:jc w:val="center"/>
        <w:rPr>
          <w:rFonts w:cs="Times New Roman"/>
        </w:rPr>
      </w:pPr>
      <w:r>
        <w:rPr>
          <w:rFonts w:hint="eastAsia" w:asciiTheme="majorEastAsia" w:hAnsiTheme="majorEastAsia" w:eastAsiaTheme="majorEastAsia" w:cstheme="majorEastAsia"/>
          <w:b/>
          <w:bCs/>
          <w:sz w:val="32"/>
          <w:szCs w:val="32"/>
          <w:lang w:val="en-US" w:eastAsia="zh-CN"/>
        </w:rPr>
        <w:t>2022</w:t>
      </w:r>
      <w:r>
        <w:rPr>
          <w:rFonts w:hint="eastAsia" w:asciiTheme="majorEastAsia" w:hAnsiTheme="majorEastAsia" w:eastAsiaTheme="majorEastAsia" w:cstheme="majorEastAsia"/>
          <w:b/>
          <w:bCs/>
          <w:sz w:val="32"/>
          <w:szCs w:val="32"/>
        </w:rPr>
        <w:t>年度部门整体绩效自评表</w:t>
      </w:r>
    </w:p>
    <w:p>
      <w:pPr>
        <w:widowControl/>
        <w:jc w:val="left"/>
        <w:rPr>
          <w:rFonts w:ascii="楷体_GB2312" w:hAnsi="黑体" w:eastAsia="楷体_GB2312" w:cs="Times New Roman"/>
          <w:kern w:val="0"/>
          <w:sz w:val="24"/>
          <w:szCs w:val="24"/>
        </w:rPr>
      </w:pPr>
      <w:r>
        <w:rPr>
          <w:rFonts w:hint="eastAsia" w:ascii="楷体_GB2312" w:hAnsi="仿宋" w:eastAsia="楷体_GB2312" w:cs="楷体_GB2312"/>
          <w:kern w:val="0"/>
          <w:sz w:val="28"/>
          <w:szCs w:val="28"/>
        </w:rPr>
        <w:t>单位名称：</w:t>
      </w:r>
      <w:r>
        <w:rPr>
          <w:rFonts w:ascii="楷体_GB2312" w:hAnsi="仿宋" w:eastAsia="楷体_GB2312" w:cs="楷体_GB2312"/>
          <w:kern w:val="0"/>
          <w:sz w:val="28"/>
          <w:szCs w:val="28"/>
        </w:rPr>
        <w:t xml:space="preserve"> </w:t>
      </w:r>
      <w:r>
        <w:rPr>
          <w:rFonts w:hint="eastAsia" w:ascii="楷体_GB2312" w:hAnsi="仿宋" w:eastAsia="楷体_GB2312" w:cs="楷体_GB2312"/>
          <w:kern w:val="0"/>
          <w:sz w:val="28"/>
          <w:szCs w:val="28"/>
          <w:lang w:eastAsia="zh-CN"/>
        </w:rPr>
        <w:t>中共鄂州市委政法委员会</w:t>
      </w:r>
      <w:r>
        <w:rPr>
          <w:rFonts w:ascii="楷体_GB2312" w:hAnsi="仿宋" w:eastAsia="楷体_GB2312" w:cs="楷体_GB2312"/>
          <w:kern w:val="0"/>
          <w:sz w:val="24"/>
          <w:szCs w:val="24"/>
        </w:rPr>
        <w:t xml:space="preserve">     </w:t>
      </w:r>
      <w:r>
        <w:rPr>
          <w:rFonts w:hint="eastAsia" w:ascii="楷体_GB2312" w:hAnsi="仿宋" w:eastAsia="楷体_GB2312" w:cs="楷体_GB2312"/>
          <w:kern w:val="0"/>
          <w:sz w:val="28"/>
          <w:szCs w:val="28"/>
        </w:rPr>
        <w:t>填报日期：</w:t>
      </w:r>
      <w:r>
        <w:rPr>
          <w:rFonts w:hint="eastAsia" w:ascii="楷体_GB2312" w:hAnsi="仿宋" w:eastAsia="楷体_GB2312" w:cs="楷体_GB2312"/>
          <w:kern w:val="0"/>
          <w:sz w:val="28"/>
          <w:szCs w:val="28"/>
          <w:lang w:val="en-US" w:eastAsia="zh-CN"/>
        </w:rPr>
        <w:t>2023年6月5 日</w:t>
      </w:r>
    </w:p>
    <w:tbl>
      <w:tblPr>
        <w:tblStyle w:val="6"/>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700"/>
        <w:gridCol w:w="1122"/>
        <w:gridCol w:w="1319"/>
        <w:gridCol w:w="923"/>
        <w:gridCol w:w="394"/>
        <w:gridCol w:w="1466"/>
        <w:gridCol w:w="660"/>
        <w:gridCol w:w="659"/>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28"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单位名称</w:t>
            </w:r>
          </w:p>
        </w:tc>
        <w:tc>
          <w:tcPr>
            <w:tcW w:w="7420" w:type="dxa"/>
            <w:gridSpan w:val="8"/>
            <w:vAlign w:val="center"/>
          </w:tcPr>
          <w:p>
            <w:pPr>
              <w:widowControl/>
              <w:jc w:val="center"/>
              <w:rPr>
                <w:rFonts w:ascii="仿宋_GB2312" w:hAnsi="宋体" w:eastAsia="仿宋_GB2312" w:cs="Times New Roman"/>
                <w:kern w:val="0"/>
              </w:rPr>
            </w:pPr>
            <w:r>
              <w:rPr>
                <w:rFonts w:hint="eastAsia" w:ascii="楷体_GB2312" w:hAnsi="仿宋" w:eastAsia="楷体_GB2312" w:cs="楷体_GB2312"/>
                <w:kern w:val="0"/>
                <w:sz w:val="28"/>
                <w:szCs w:val="28"/>
                <w:lang w:eastAsia="zh-CN"/>
              </w:rPr>
              <w:t>中共鄂州市委政法委员会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28"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基本支出总额</w:t>
            </w:r>
          </w:p>
        </w:tc>
        <w:tc>
          <w:tcPr>
            <w:tcW w:w="3364" w:type="dxa"/>
            <w:gridSpan w:val="3"/>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642.61</w:t>
            </w:r>
          </w:p>
        </w:tc>
        <w:tc>
          <w:tcPr>
            <w:tcW w:w="2520" w:type="dxa"/>
            <w:gridSpan w:val="3"/>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项目支出总额</w:t>
            </w:r>
          </w:p>
        </w:tc>
        <w:tc>
          <w:tcPr>
            <w:tcW w:w="1536"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923.02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28" w:type="dxa"/>
            <w:gridSpan w:val="2"/>
            <w:vMerge w:val="restart"/>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预算执行情况（万元）</w:t>
            </w:r>
          </w:p>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（20分）</w:t>
            </w:r>
          </w:p>
        </w:tc>
        <w:tc>
          <w:tcPr>
            <w:tcW w:w="1122" w:type="dxa"/>
            <w:vAlign w:val="center"/>
          </w:tcPr>
          <w:p>
            <w:pPr>
              <w:widowControl/>
              <w:jc w:val="center"/>
              <w:rPr>
                <w:rFonts w:hint="eastAsia" w:ascii="仿宋" w:hAnsi="仿宋" w:eastAsia="仿宋" w:cs="仿宋"/>
                <w:kern w:val="0"/>
                <w:sz w:val="21"/>
                <w:szCs w:val="21"/>
              </w:rPr>
            </w:pPr>
          </w:p>
        </w:tc>
        <w:tc>
          <w:tcPr>
            <w:tcW w:w="1319"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预算数（A）</w:t>
            </w:r>
          </w:p>
        </w:tc>
        <w:tc>
          <w:tcPr>
            <w:tcW w:w="1317"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执行数（B）</w:t>
            </w:r>
          </w:p>
        </w:tc>
        <w:tc>
          <w:tcPr>
            <w:tcW w:w="1466"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执行率（B/A）</w:t>
            </w:r>
          </w:p>
        </w:tc>
        <w:tc>
          <w:tcPr>
            <w:tcW w:w="2196" w:type="dxa"/>
            <w:gridSpan w:val="3"/>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得分</w:t>
            </w:r>
          </w:p>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28" w:type="dxa"/>
            <w:gridSpan w:val="2"/>
            <w:vMerge w:val="continue"/>
            <w:vAlign w:val="center"/>
          </w:tcPr>
          <w:p>
            <w:pPr>
              <w:widowControl/>
              <w:jc w:val="center"/>
              <w:rPr>
                <w:rFonts w:hint="eastAsia" w:ascii="仿宋" w:hAnsi="仿宋" w:eastAsia="仿宋" w:cs="仿宋"/>
                <w:kern w:val="0"/>
                <w:sz w:val="21"/>
                <w:szCs w:val="21"/>
              </w:rPr>
            </w:pPr>
          </w:p>
        </w:tc>
        <w:tc>
          <w:tcPr>
            <w:tcW w:w="1122"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部门整体支出总额</w:t>
            </w:r>
          </w:p>
        </w:tc>
        <w:tc>
          <w:tcPr>
            <w:tcW w:w="1319"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sz w:val="21"/>
                <w:szCs w:val="21"/>
                <w:lang w:val="en-US" w:eastAsia="zh-CN"/>
              </w:rPr>
              <w:t>1565.63</w:t>
            </w:r>
          </w:p>
        </w:tc>
        <w:tc>
          <w:tcPr>
            <w:tcW w:w="1317"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sz w:val="21"/>
                <w:szCs w:val="21"/>
                <w:lang w:val="en-US" w:eastAsia="zh-CN"/>
              </w:rPr>
              <w:t>1565.63</w:t>
            </w:r>
          </w:p>
        </w:tc>
        <w:tc>
          <w:tcPr>
            <w:tcW w:w="1466"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2196" w:type="dxa"/>
            <w:gridSpan w:val="3"/>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28"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年度目标1：（</w:t>
            </w:r>
            <w:r>
              <w:rPr>
                <w:rFonts w:hint="eastAsia" w:ascii="仿宋" w:hAnsi="仿宋" w:eastAsia="仿宋" w:cs="仿宋"/>
                <w:kern w:val="0"/>
                <w:sz w:val="21"/>
                <w:szCs w:val="21"/>
                <w:lang w:val="en-US" w:eastAsia="zh-CN"/>
              </w:rPr>
              <w:t>10</w:t>
            </w:r>
            <w:r>
              <w:rPr>
                <w:rFonts w:hint="eastAsia" w:ascii="仿宋" w:hAnsi="仿宋" w:eastAsia="仿宋" w:cs="仿宋"/>
                <w:kern w:val="0"/>
                <w:sz w:val="21"/>
                <w:szCs w:val="21"/>
              </w:rPr>
              <w:t>分）</w:t>
            </w:r>
          </w:p>
        </w:tc>
        <w:tc>
          <w:tcPr>
            <w:tcW w:w="7420" w:type="dxa"/>
            <w:gridSpan w:val="8"/>
            <w:vAlign w:val="center"/>
          </w:tcPr>
          <w:p>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提升我市“一感一度一率一评价”，加强重点特殊群体稳控，推动我市平安创建工作，充分发挥社会治安综合治理的优势和职能作用，动员全社会广泛参与，推进各部门齐抓共管，综合治理，为鄂州市经济建设保驾护航。切实提升法治宣传教育知晓率和参与率，努力让人民群众在每一个司法案件中感受到公平正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restart"/>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rPr>
              <w:t>年度绩效指标</w:t>
            </w:r>
            <w:r>
              <w:rPr>
                <w:rFonts w:hint="eastAsia" w:ascii="仿宋" w:hAnsi="仿宋" w:eastAsia="仿宋" w:cs="仿宋"/>
                <w:kern w:val="0"/>
                <w:sz w:val="21"/>
                <w:szCs w:val="21"/>
                <w:lang w:val="en-US" w:eastAsia="zh-CN"/>
              </w:rPr>
              <w:t>1</w:t>
            </w:r>
          </w:p>
        </w:tc>
        <w:tc>
          <w:tcPr>
            <w:tcW w:w="700" w:type="dxa"/>
            <w:vAlign w:val="center"/>
          </w:tcPr>
          <w:p>
            <w:pPr>
              <w:jc w:val="center"/>
              <w:rPr>
                <w:rFonts w:hint="eastAsia" w:ascii="仿宋" w:hAnsi="仿宋" w:eastAsia="仿宋" w:cs="仿宋"/>
                <w:kern w:val="0"/>
                <w:sz w:val="21"/>
                <w:szCs w:val="21"/>
              </w:rPr>
            </w:pPr>
            <w:r>
              <w:rPr>
                <w:rFonts w:hint="eastAsia" w:ascii="仿宋" w:hAnsi="仿宋" w:eastAsia="仿宋" w:cs="仿宋"/>
                <w:kern w:val="0"/>
                <w:sz w:val="21"/>
                <w:szCs w:val="21"/>
              </w:rPr>
              <w:t>一级指标</w:t>
            </w:r>
          </w:p>
        </w:tc>
        <w:tc>
          <w:tcPr>
            <w:tcW w:w="1122"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二级指标</w:t>
            </w:r>
          </w:p>
        </w:tc>
        <w:tc>
          <w:tcPr>
            <w:tcW w:w="2636" w:type="dxa"/>
            <w:gridSpan w:val="3"/>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三级指标</w:t>
            </w:r>
          </w:p>
        </w:tc>
        <w:tc>
          <w:tcPr>
            <w:tcW w:w="1466"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年初目标值（A）</w:t>
            </w:r>
          </w:p>
        </w:tc>
        <w:tc>
          <w:tcPr>
            <w:tcW w:w="1319"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实际完成值（B）</w:t>
            </w:r>
          </w:p>
        </w:tc>
        <w:tc>
          <w:tcPr>
            <w:tcW w:w="877"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28" w:type="dxa"/>
            <w:vMerge w:val="continue"/>
            <w:vAlign w:val="center"/>
          </w:tcPr>
          <w:p>
            <w:pPr>
              <w:jc w:val="center"/>
              <w:rPr>
                <w:rFonts w:hint="eastAsia" w:ascii="仿宋" w:hAnsi="仿宋" w:eastAsia="仿宋" w:cs="仿宋"/>
                <w:kern w:val="0"/>
                <w:sz w:val="21"/>
                <w:szCs w:val="21"/>
              </w:rPr>
            </w:pPr>
          </w:p>
        </w:tc>
        <w:tc>
          <w:tcPr>
            <w:tcW w:w="700" w:type="dxa"/>
            <w:vMerge w:val="restart"/>
            <w:vAlign w:val="center"/>
          </w:tcPr>
          <w:p>
            <w:pPr>
              <w:jc w:val="center"/>
              <w:rPr>
                <w:rFonts w:hint="eastAsia" w:ascii="仿宋" w:hAnsi="仿宋" w:eastAsia="仿宋" w:cs="仿宋"/>
                <w:kern w:val="0"/>
                <w:sz w:val="21"/>
                <w:szCs w:val="21"/>
              </w:rPr>
            </w:pPr>
            <w:r>
              <w:rPr>
                <w:rFonts w:hint="eastAsia" w:ascii="仿宋" w:hAnsi="仿宋" w:eastAsia="仿宋" w:cs="仿宋"/>
                <w:kern w:val="0"/>
                <w:sz w:val="21"/>
                <w:szCs w:val="21"/>
              </w:rPr>
              <w:t>产出指标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数量指标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平安创建宣传到位</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平安创建宣传≥100万人次</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100万人次</w:t>
            </w:r>
          </w:p>
          <w:p>
            <w:pPr>
              <w:bidi w:val="0"/>
              <w:jc w:val="left"/>
              <w:rPr>
                <w:rFonts w:hint="eastAsia" w:ascii="仿宋" w:hAnsi="仿宋" w:eastAsia="仿宋" w:cs="仿宋"/>
                <w:kern w:val="0"/>
                <w:sz w:val="21"/>
                <w:szCs w:val="21"/>
                <w:lang w:val="en-US"/>
              </w:rPr>
            </w:pPr>
          </w:p>
        </w:tc>
        <w:tc>
          <w:tcPr>
            <w:tcW w:w="877" w:type="dxa"/>
            <w:vAlign w:val="center"/>
          </w:tcPr>
          <w:p>
            <w:pPr>
              <w:widowControl/>
              <w:snapToGrid w:val="0"/>
              <w:jc w:val="center"/>
              <w:rPr>
                <w:rFonts w:hint="eastAsia" w:ascii="仿宋" w:hAnsi="仿宋" w:eastAsia="仿宋" w:cs="仿宋"/>
                <w:kern w:val="0"/>
                <w:sz w:val="21"/>
                <w:szCs w:val="21"/>
                <w:lang w:val="en-US"/>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8" w:type="dxa"/>
            <w:vMerge w:val="continue"/>
            <w:vAlign w:val="center"/>
          </w:tcPr>
          <w:p>
            <w:pPr>
              <w:jc w:val="center"/>
              <w:rPr>
                <w:rFonts w:hint="eastAsia" w:ascii="仿宋" w:hAnsi="仿宋" w:eastAsia="仿宋" w:cs="仿宋"/>
                <w:kern w:val="0"/>
                <w:sz w:val="21"/>
                <w:szCs w:val="21"/>
              </w:rPr>
            </w:pPr>
          </w:p>
        </w:tc>
        <w:tc>
          <w:tcPr>
            <w:tcW w:w="700" w:type="dxa"/>
            <w:vMerge w:val="continue"/>
            <w:vAlign w:val="center"/>
          </w:tcPr>
          <w:p>
            <w:pPr>
              <w:widowControl/>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质量指标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挂牌整治有效</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挂牌整治≥5个地区</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5个地区</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jc w:val="center"/>
              <w:rPr>
                <w:rFonts w:hint="eastAsia" w:ascii="仿宋" w:hAnsi="仿宋" w:eastAsia="仿宋" w:cs="仿宋"/>
                <w:kern w:val="0"/>
                <w:sz w:val="21"/>
                <w:szCs w:val="21"/>
              </w:rPr>
            </w:pPr>
          </w:p>
        </w:tc>
        <w:tc>
          <w:tcPr>
            <w:tcW w:w="700" w:type="dxa"/>
            <w:vMerge w:val="continue"/>
            <w:vAlign w:val="center"/>
          </w:tcPr>
          <w:p>
            <w:pPr>
              <w:widowControl/>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时效指标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日常考核到位</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日常</w:t>
            </w:r>
            <w:r>
              <w:rPr>
                <w:rFonts w:hint="eastAsia" w:ascii="仿宋" w:hAnsi="仿宋" w:eastAsia="仿宋" w:cs="仿宋"/>
                <w:kern w:val="0"/>
                <w:sz w:val="21"/>
                <w:szCs w:val="21"/>
                <w:lang w:val="en-US" w:eastAsia="zh-CN"/>
              </w:rPr>
              <w:t>综治</w:t>
            </w:r>
            <w:r>
              <w:rPr>
                <w:rFonts w:hint="eastAsia" w:ascii="仿宋" w:hAnsi="仿宋" w:eastAsia="仿宋" w:cs="仿宋"/>
                <w:kern w:val="0"/>
                <w:sz w:val="21"/>
                <w:szCs w:val="21"/>
              </w:rPr>
              <w:t>考核≥2次</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2次</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jc w:val="center"/>
              <w:rPr>
                <w:rFonts w:hint="eastAsia" w:ascii="仿宋" w:hAnsi="仿宋" w:eastAsia="仿宋" w:cs="仿宋"/>
                <w:kern w:val="0"/>
                <w:sz w:val="21"/>
                <w:szCs w:val="21"/>
              </w:rPr>
            </w:pPr>
          </w:p>
        </w:tc>
        <w:tc>
          <w:tcPr>
            <w:tcW w:w="700" w:type="dxa"/>
            <w:vMerge w:val="continue"/>
            <w:vAlign w:val="center"/>
          </w:tcPr>
          <w:p>
            <w:pPr>
              <w:widowControl/>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成本指标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政府综合救助</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政府综合救助责任保险和综治保险理赔到位</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100万人次</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Align w:val="center"/>
          </w:tcPr>
          <w:p>
            <w:pPr>
              <w:jc w:val="center"/>
              <w:rPr>
                <w:rFonts w:hint="eastAsia" w:ascii="仿宋" w:hAnsi="仿宋" w:eastAsia="仿宋" w:cs="仿宋"/>
                <w:kern w:val="0"/>
                <w:sz w:val="21"/>
                <w:szCs w:val="21"/>
              </w:rPr>
            </w:pPr>
            <w:r>
              <w:rPr>
                <w:rFonts w:hint="eastAsia" w:ascii="仿宋" w:hAnsi="仿宋" w:eastAsia="仿宋" w:cs="仿宋"/>
                <w:kern w:val="0"/>
                <w:sz w:val="21"/>
                <w:szCs w:val="21"/>
              </w:rPr>
              <w:t>效益指标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经济效益</w:t>
            </w:r>
          </w:p>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维护社会安全稳定，促进经济繁荣发展</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确保经济稳定持续发展</w:t>
            </w:r>
          </w:p>
        </w:tc>
        <w:tc>
          <w:tcPr>
            <w:tcW w:w="1319" w:type="dxa"/>
            <w:gridSpan w:val="2"/>
            <w:vAlign w:val="center"/>
          </w:tcPr>
          <w:p>
            <w:pPr>
              <w:widowControl/>
              <w:snapToGrid w:val="0"/>
              <w:jc w:val="center"/>
              <w:rPr>
                <w:rFonts w:hint="eastAsia" w:ascii="仿宋" w:hAnsi="仿宋" w:eastAsia="仿宋" w:cs="仿宋"/>
                <w:kern w:val="0"/>
                <w:sz w:val="21"/>
                <w:szCs w:val="21"/>
                <w:lang w:val="en-US"/>
              </w:rPr>
            </w:pPr>
            <w:r>
              <w:rPr>
                <w:rFonts w:hint="eastAsia" w:ascii="仿宋" w:hAnsi="仿宋" w:eastAsia="仿宋" w:cs="仿宋"/>
                <w:kern w:val="0"/>
                <w:sz w:val="21"/>
                <w:szCs w:val="21"/>
                <w:lang w:val="en-US" w:eastAsia="zh-CN"/>
              </w:rPr>
              <w:t>95%</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满意度指标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服务对象</w:t>
            </w:r>
          </w:p>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满意度指标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群众安全感</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提升群众安全感</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95%</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1528"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年度目标</w:t>
            </w:r>
            <w:r>
              <w:rPr>
                <w:rFonts w:hint="eastAsia" w:ascii="仿宋" w:hAnsi="仿宋" w:eastAsia="仿宋" w:cs="仿宋"/>
                <w:kern w:val="0"/>
                <w:sz w:val="21"/>
                <w:szCs w:val="21"/>
                <w:lang w:val="en-US" w:eastAsia="zh-CN"/>
              </w:rPr>
              <w:t>2</w:t>
            </w: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10</w:t>
            </w:r>
            <w:r>
              <w:rPr>
                <w:rFonts w:hint="eastAsia" w:ascii="仿宋" w:hAnsi="仿宋" w:eastAsia="仿宋" w:cs="仿宋"/>
                <w:kern w:val="0"/>
                <w:sz w:val="21"/>
                <w:szCs w:val="21"/>
              </w:rPr>
              <w:t>分）</w:t>
            </w:r>
          </w:p>
        </w:tc>
        <w:tc>
          <w:tcPr>
            <w:tcW w:w="7420" w:type="dxa"/>
            <w:gridSpan w:val="8"/>
            <w:vAlign w:val="center"/>
          </w:tcPr>
          <w:p>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1、全面推进各项维稳工作，确保全市政治社会大局持续稳定，做到“六个严防”，严防影响国家政治安全和社会稳定的重大事件，严防暴力恐怖袭击和个人极端暴力事件，严防规模性群体性事件和影响庆祝活动安全的滋扰事件，严防重特大公安安全事故，严防重大治安事件和网络安全事件，严防重大疫情事件和失泄密事件。</w:t>
            </w:r>
          </w:p>
          <w:p>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2、全面落实教育转化、打击防控、宣传教育等反邪教工作措施，着力提升邪教治理水平，全力防控邪教问题风险，确保“三个不发生”，为推进鄂州城乡融合高质量发展创造安全稳定的社会政治环境。</w:t>
            </w:r>
          </w:p>
          <w:p>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3、全面推进我市政治安保保卫工作，确保全市政治社会大局持续稳定。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restart"/>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年度绩效指标</w:t>
            </w:r>
            <w:r>
              <w:rPr>
                <w:rFonts w:hint="eastAsia" w:ascii="仿宋" w:hAnsi="仿宋" w:eastAsia="仿宋" w:cs="仿宋"/>
                <w:kern w:val="0"/>
                <w:sz w:val="21"/>
                <w:szCs w:val="21"/>
                <w:lang w:val="en-US" w:eastAsia="zh-CN"/>
              </w:rPr>
              <w:t>2</w:t>
            </w:r>
          </w:p>
        </w:tc>
        <w:tc>
          <w:tcPr>
            <w:tcW w:w="700" w:type="dxa"/>
            <w:vAlign w:val="center"/>
          </w:tcPr>
          <w:p>
            <w:pPr>
              <w:jc w:val="center"/>
              <w:rPr>
                <w:rFonts w:hint="eastAsia" w:ascii="仿宋" w:hAnsi="仿宋" w:eastAsia="仿宋" w:cs="仿宋"/>
                <w:kern w:val="0"/>
                <w:sz w:val="21"/>
                <w:szCs w:val="21"/>
              </w:rPr>
            </w:pPr>
            <w:r>
              <w:rPr>
                <w:rFonts w:hint="eastAsia" w:ascii="仿宋" w:hAnsi="仿宋" w:eastAsia="仿宋" w:cs="仿宋"/>
                <w:kern w:val="0"/>
                <w:sz w:val="21"/>
                <w:szCs w:val="21"/>
              </w:rPr>
              <w:t>一级指标</w:t>
            </w:r>
          </w:p>
        </w:tc>
        <w:tc>
          <w:tcPr>
            <w:tcW w:w="1122"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二级指标</w:t>
            </w:r>
          </w:p>
        </w:tc>
        <w:tc>
          <w:tcPr>
            <w:tcW w:w="2636" w:type="dxa"/>
            <w:gridSpan w:val="3"/>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三级指标</w:t>
            </w:r>
          </w:p>
        </w:tc>
        <w:tc>
          <w:tcPr>
            <w:tcW w:w="1466"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年初目标值（A）</w:t>
            </w:r>
          </w:p>
        </w:tc>
        <w:tc>
          <w:tcPr>
            <w:tcW w:w="1319"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实际完成值（B）</w:t>
            </w:r>
          </w:p>
        </w:tc>
        <w:tc>
          <w:tcPr>
            <w:tcW w:w="877"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restart"/>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产出指标</w:t>
            </w:r>
          </w:p>
        </w:tc>
        <w:tc>
          <w:tcPr>
            <w:tcW w:w="1122" w:type="dxa"/>
            <w:vMerge w:val="restart"/>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数量指标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救助重点维稳对象35人次</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35人次</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35</w:t>
            </w:r>
          </w:p>
        </w:tc>
        <w:tc>
          <w:tcPr>
            <w:tcW w:w="877"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jc w:val="center"/>
              <w:rPr>
                <w:rFonts w:hint="eastAsia" w:ascii="仿宋" w:hAnsi="仿宋" w:eastAsia="仿宋" w:cs="仿宋"/>
                <w:kern w:val="0"/>
                <w:sz w:val="21"/>
                <w:szCs w:val="21"/>
              </w:rPr>
            </w:pPr>
          </w:p>
        </w:tc>
        <w:tc>
          <w:tcPr>
            <w:tcW w:w="1122" w:type="dxa"/>
            <w:vMerge w:val="continue"/>
            <w:vAlign w:val="center"/>
          </w:tcPr>
          <w:p>
            <w:pPr>
              <w:widowControl/>
              <w:snapToGrid w:val="0"/>
              <w:jc w:val="center"/>
              <w:rPr>
                <w:rFonts w:hint="eastAsia" w:ascii="仿宋" w:hAnsi="仿宋" w:eastAsia="仿宋" w:cs="仿宋"/>
                <w:kern w:val="0"/>
                <w:sz w:val="21"/>
                <w:szCs w:val="21"/>
              </w:rPr>
            </w:pP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每月下基层开展专项督查不少于3次</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每月</w:t>
            </w: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3</w:t>
            </w:r>
            <w:r>
              <w:rPr>
                <w:rFonts w:hint="eastAsia" w:ascii="仿宋" w:hAnsi="仿宋" w:eastAsia="仿宋" w:cs="仿宋"/>
                <w:kern w:val="0"/>
                <w:sz w:val="21"/>
                <w:szCs w:val="21"/>
                <w:lang w:eastAsia="zh-CN"/>
              </w:rPr>
              <w:t>次</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3次</w:t>
            </w:r>
          </w:p>
        </w:tc>
        <w:tc>
          <w:tcPr>
            <w:tcW w:w="877"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质量指标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全市进京非访同比明显减少</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总数比去年下降30％以上</w:t>
            </w:r>
          </w:p>
        </w:tc>
        <w:tc>
          <w:tcPr>
            <w:tcW w:w="1319" w:type="dxa"/>
            <w:gridSpan w:val="2"/>
            <w:vAlign w:val="center"/>
          </w:tcPr>
          <w:p>
            <w:pPr>
              <w:widowControl/>
              <w:snapToGrid w:val="0"/>
              <w:jc w:val="center"/>
              <w:rPr>
                <w:rFonts w:hint="eastAsia" w:ascii="仿宋" w:hAnsi="仿宋" w:eastAsia="仿宋" w:cs="仿宋"/>
                <w:kern w:val="0"/>
                <w:sz w:val="21"/>
                <w:szCs w:val="21"/>
                <w:lang w:val="en-US"/>
              </w:rPr>
            </w:pPr>
            <w:r>
              <w:rPr>
                <w:rFonts w:hint="eastAsia" w:ascii="仿宋" w:hAnsi="仿宋" w:eastAsia="仿宋" w:cs="仿宋"/>
                <w:kern w:val="0"/>
                <w:sz w:val="21"/>
                <w:szCs w:val="21"/>
                <w:lang w:eastAsia="zh-CN"/>
              </w:rPr>
              <w:t>同比低于</w:t>
            </w:r>
            <w:r>
              <w:rPr>
                <w:rFonts w:hint="eastAsia" w:ascii="仿宋" w:hAnsi="仿宋" w:eastAsia="仿宋" w:cs="仿宋"/>
                <w:kern w:val="0"/>
                <w:sz w:val="21"/>
                <w:szCs w:val="21"/>
                <w:lang w:val="en-US" w:eastAsia="zh-CN"/>
              </w:rPr>
              <w:t>30%</w:t>
            </w:r>
          </w:p>
        </w:tc>
        <w:tc>
          <w:tcPr>
            <w:tcW w:w="877"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restart"/>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效益指标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经济效益</w:t>
            </w:r>
            <w:r>
              <w:rPr>
                <w:rFonts w:hint="eastAsia" w:ascii="仿宋" w:hAnsi="仿宋" w:eastAsia="仿宋" w:cs="仿宋"/>
                <w:kern w:val="0"/>
                <w:sz w:val="21"/>
                <w:szCs w:val="21"/>
                <w:lang w:val="en-US" w:eastAsia="zh-CN"/>
              </w:rPr>
              <w:br w:type="textWrapping"/>
            </w:r>
            <w:r>
              <w:rPr>
                <w:rFonts w:hint="eastAsia" w:ascii="仿宋" w:hAnsi="仿宋" w:eastAsia="仿宋" w:cs="仿宋"/>
                <w:kern w:val="0"/>
                <w:sz w:val="21"/>
                <w:szCs w:val="21"/>
                <w:lang w:val="en-US" w:eastAsia="zh-CN"/>
              </w:rPr>
              <w:t>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经济健康有序发展</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以稳定保和谐促经济健康有序发展</w:t>
            </w:r>
          </w:p>
        </w:tc>
        <w:tc>
          <w:tcPr>
            <w:tcW w:w="1319" w:type="dxa"/>
            <w:gridSpan w:val="2"/>
            <w:vAlign w:val="center"/>
          </w:tcPr>
          <w:p>
            <w:pPr>
              <w:widowControl/>
              <w:snapToGrid w:val="0"/>
              <w:jc w:val="center"/>
              <w:rPr>
                <w:rFonts w:hint="eastAsia" w:ascii="仿宋" w:hAnsi="仿宋" w:eastAsia="仿宋" w:cs="仿宋"/>
                <w:kern w:val="0"/>
                <w:sz w:val="21"/>
                <w:szCs w:val="21"/>
                <w:lang w:val="en-US"/>
              </w:rPr>
            </w:pPr>
            <w:r>
              <w:rPr>
                <w:rFonts w:hint="eastAsia" w:ascii="仿宋" w:hAnsi="仿宋" w:eastAsia="仿宋" w:cs="仿宋"/>
                <w:kern w:val="0"/>
                <w:sz w:val="21"/>
                <w:szCs w:val="21"/>
                <w:lang w:val="en-US" w:eastAsia="zh-CN"/>
              </w:rPr>
              <w:t>95%</w:t>
            </w:r>
          </w:p>
        </w:tc>
        <w:tc>
          <w:tcPr>
            <w:tcW w:w="877"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社会效益指标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全市社会大局稳定</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保持全市社会大局持续稳定</w:t>
            </w:r>
          </w:p>
        </w:tc>
        <w:tc>
          <w:tcPr>
            <w:tcW w:w="1319" w:type="dxa"/>
            <w:gridSpan w:val="2"/>
            <w:vAlign w:val="center"/>
          </w:tcPr>
          <w:p>
            <w:pPr>
              <w:bidi w:val="0"/>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98%</w:t>
            </w:r>
          </w:p>
        </w:tc>
        <w:tc>
          <w:tcPr>
            <w:tcW w:w="877"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生态效益指标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被救助的维稳对象停访息诉</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确保被救助的维稳对象停访息诉</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98%</w:t>
            </w:r>
          </w:p>
        </w:tc>
        <w:tc>
          <w:tcPr>
            <w:tcW w:w="877"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满意度指标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服务对象</w:t>
            </w:r>
          </w:p>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满意度</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被救助的维稳对象满意率</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提升救助的维稳对象满意率</w:t>
            </w:r>
            <w:r>
              <w:rPr>
                <w:rFonts w:hint="eastAsia" w:ascii="仿宋" w:hAnsi="仿宋" w:eastAsia="仿宋" w:cs="仿宋"/>
                <w:kern w:val="0"/>
                <w:sz w:val="21"/>
                <w:szCs w:val="21"/>
                <w:lang w:eastAsia="zh-CN"/>
              </w:rPr>
              <w:t>不低于</w:t>
            </w:r>
            <w:r>
              <w:rPr>
                <w:rFonts w:hint="eastAsia" w:ascii="仿宋" w:hAnsi="仿宋" w:eastAsia="仿宋" w:cs="仿宋"/>
                <w:kern w:val="0"/>
                <w:sz w:val="21"/>
                <w:szCs w:val="21"/>
                <w:lang w:val="en-US" w:eastAsia="zh-CN"/>
              </w:rPr>
              <w:t>90%</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96%</w:t>
            </w:r>
          </w:p>
        </w:tc>
        <w:tc>
          <w:tcPr>
            <w:tcW w:w="877"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1528"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年度目标</w:t>
            </w:r>
            <w:r>
              <w:rPr>
                <w:rFonts w:hint="eastAsia" w:ascii="仿宋" w:hAnsi="仿宋" w:eastAsia="仿宋" w:cs="仿宋"/>
                <w:kern w:val="0"/>
                <w:sz w:val="21"/>
                <w:szCs w:val="21"/>
                <w:lang w:val="en-US" w:eastAsia="zh-CN"/>
              </w:rPr>
              <w:t>3</w:t>
            </w: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10</w:t>
            </w:r>
            <w:r>
              <w:rPr>
                <w:rFonts w:hint="eastAsia" w:ascii="仿宋" w:hAnsi="仿宋" w:eastAsia="仿宋" w:cs="仿宋"/>
                <w:kern w:val="0"/>
                <w:sz w:val="21"/>
                <w:szCs w:val="21"/>
              </w:rPr>
              <w:t>分）</w:t>
            </w:r>
          </w:p>
        </w:tc>
        <w:tc>
          <w:tcPr>
            <w:tcW w:w="7420" w:type="dxa"/>
            <w:gridSpan w:val="8"/>
            <w:vAlign w:val="center"/>
          </w:tcPr>
          <w:p>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认真落实《鄂州市维稳救助资金使用管理办法》、《湖北省司法救助分类量化标准实施细则》，积极履行主动告知义务，严格救助的标准条件，对符合条件的每一个当事人，实行精准救助，充分发挥维稳救助、司法救助制度的积极作用。实现维稳救助、司法救助工作制度化、规范化，通过司法救助，化解矛盾纠纷，促进社会和谐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restart"/>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rPr>
              <w:t>年度绩效指标</w:t>
            </w:r>
            <w:r>
              <w:rPr>
                <w:rFonts w:hint="eastAsia" w:ascii="仿宋" w:hAnsi="仿宋" w:eastAsia="仿宋" w:cs="仿宋"/>
                <w:kern w:val="0"/>
                <w:sz w:val="21"/>
                <w:szCs w:val="21"/>
                <w:lang w:val="en-US" w:eastAsia="zh-CN"/>
              </w:rPr>
              <w:t>3</w:t>
            </w:r>
          </w:p>
        </w:tc>
        <w:tc>
          <w:tcPr>
            <w:tcW w:w="700" w:type="dxa"/>
            <w:vAlign w:val="center"/>
          </w:tcPr>
          <w:p>
            <w:pPr>
              <w:jc w:val="center"/>
              <w:rPr>
                <w:rFonts w:hint="eastAsia" w:ascii="仿宋" w:hAnsi="仿宋" w:eastAsia="仿宋" w:cs="仿宋"/>
                <w:kern w:val="0"/>
                <w:sz w:val="21"/>
                <w:szCs w:val="21"/>
              </w:rPr>
            </w:pPr>
            <w:r>
              <w:rPr>
                <w:rFonts w:hint="eastAsia" w:ascii="仿宋" w:hAnsi="仿宋" w:eastAsia="仿宋" w:cs="仿宋"/>
                <w:kern w:val="0"/>
                <w:sz w:val="21"/>
                <w:szCs w:val="21"/>
              </w:rPr>
              <w:t>一级指标</w:t>
            </w:r>
          </w:p>
        </w:tc>
        <w:tc>
          <w:tcPr>
            <w:tcW w:w="1122"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二级指标</w:t>
            </w:r>
          </w:p>
        </w:tc>
        <w:tc>
          <w:tcPr>
            <w:tcW w:w="2636" w:type="dxa"/>
            <w:gridSpan w:val="3"/>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三级指标</w:t>
            </w:r>
          </w:p>
        </w:tc>
        <w:tc>
          <w:tcPr>
            <w:tcW w:w="1466"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年初目标值（A）</w:t>
            </w:r>
          </w:p>
        </w:tc>
        <w:tc>
          <w:tcPr>
            <w:tcW w:w="1319"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实际完成值（B）</w:t>
            </w:r>
          </w:p>
        </w:tc>
        <w:tc>
          <w:tcPr>
            <w:tcW w:w="877"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restart"/>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产出指标</w:t>
            </w:r>
          </w:p>
        </w:tc>
        <w:tc>
          <w:tcPr>
            <w:tcW w:w="1122" w:type="dxa"/>
            <w:vMerge w:val="restart"/>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数量指标</w:t>
            </w:r>
          </w:p>
        </w:tc>
        <w:tc>
          <w:tcPr>
            <w:tcW w:w="2636" w:type="dxa"/>
            <w:gridSpan w:val="3"/>
            <w:vAlign w:val="center"/>
          </w:tcPr>
          <w:p>
            <w:pPr>
              <w:widowControl/>
              <w:snapToGrid w:val="0"/>
              <w:jc w:val="both"/>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维稳、司法救助案件</w:t>
            </w:r>
          </w:p>
        </w:tc>
        <w:tc>
          <w:tcPr>
            <w:tcW w:w="1466" w:type="dxa"/>
            <w:vAlign w:val="center"/>
          </w:tcPr>
          <w:p>
            <w:pPr>
              <w:widowControl/>
              <w:snapToGrid w:val="0"/>
              <w:jc w:val="both"/>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维稳、司法救助40件</w:t>
            </w:r>
          </w:p>
        </w:tc>
        <w:tc>
          <w:tcPr>
            <w:tcW w:w="1319" w:type="dxa"/>
            <w:gridSpan w:val="2"/>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Merge w:val="continue"/>
            <w:vAlign w:val="center"/>
          </w:tcPr>
          <w:p>
            <w:pPr>
              <w:widowControl/>
              <w:snapToGrid w:val="0"/>
              <w:jc w:val="center"/>
              <w:rPr>
                <w:rFonts w:hint="eastAsia" w:ascii="仿宋" w:hAnsi="仿宋" w:eastAsia="仿宋" w:cs="仿宋"/>
                <w:kern w:val="0"/>
                <w:sz w:val="21"/>
                <w:szCs w:val="21"/>
              </w:rPr>
            </w:pPr>
          </w:p>
        </w:tc>
        <w:tc>
          <w:tcPr>
            <w:tcW w:w="2636" w:type="dxa"/>
            <w:gridSpan w:val="3"/>
            <w:vAlign w:val="center"/>
          </w:tcPr>
          <w:p>
            <w:pPr>
              <w:widowControl/>
              <w:snapToGrid w:val="0"/>
              <w:jc w:val="both"/>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举办培训会、学习会议</w:t>
            </w:r>
          </w:p>
        </w:tc>
        <w:tc>
          <w:tcPr>
            <w:tcW w:w="1466" w:type="dxa"/>
            <w:vAlign w:val="center"/>
          </w:tcPr>
          <w:p>
            <w:pPr>
              <w:widowControl/>
              <w:snapToGrid w:val="0"/>
              <w:jc w:val="both"/>
              <w:rPr>
                <w:rFonts w:hint="eastAsia" w:ascii="仿宋" w:hAnsi="仿宋" w:eastAsia="仿宋" w:cs="仿宋"/>
                <w:kern w:val="0"/>
                <w:sz w:val="21"/>
                <w:szCs w:val="21"/>
              </w:rPr>
            </w:pPr>
            <w:r>
              <w:rPr>
                <w:rFonts w:hint="eastAsia" w:ascii="仿宋" w:hAnsi="仿宋" w:eastAsia="仿宋" w:cs="仿宋"/>
                <w:kern w:val="0"/>
                <w:sz w:val="21"/>
                <w:szCs w:val="21"/>
                <w:lang w:eastAsia="zh-CN"/>
              </w:rPr>
              <w:t>每年举办</w:t>
            </w:r>
            <w:r>
              <w:rPr>
                <w:rFonts w:hint="eastAsia" w:ascii="仿宋" w:hAnsi="仿宋" w:eastAsia="仿宋" w:cs="仿宋"/>
                <w:kern w:val="0"/>
                <w:sz w:val="21"/>
                <w:szCs w:val="21"/>
              </w:rPr>
              <w:t>≥</w:t>
            </w:r>
            <w:r>
              <w:rPr>
                <w:rFonts w:hint="eastAsia" w:ascii="仿宋" w:hAnsi="仿宋" w:eastAsia="仿宋" w:cs="仿宋"/>
                <w:kern w:val="0"/>
                <w:sz w:val="21"/>
                <w:szCs w:val="21"/>
                <w:lang w:eastAsia="zh-CN"/>
              </w:rPr>
              <w:t>2场业务培训。</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2场业务培训</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质量指标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维稳、司法救助案件质量</w:t>
            </w:r>
          </w:p>
        </w:tc>
        <w:tc>
          <w:tcPr>
            <w:tcW w:w="1466" w:type="dxa"/>
            <w:vAlign w:val="center"/>
          </w:tcPr>
          <w:p>
            <w:pPr>
              <w:widowControl/>
              <w:snapToGrid w:val="0"/>
              <w:jc w:val="both"/>
              <w:rPr>
                <w:rFonts w:hint="eastAsia" w:ascii="仿宋" w:hAnsi="仿宋" w:eastAsia="仿宋" w:cs="仿宋"/>
                <w:kern w:val="0"/>
                <w:sz w:val="21"/>
                <w:szCs w:val="21"/>
              </w:rPr>
            </w:pPr>
            <w:r>
              <w:rPr>
                <w:rFonts w:hint="eastAsia" w:ascii="仿宋" w:hAnsi="仿宋" w:eastAsia="仿宋" w:cs="仿宋"/>
                <w:kern w:val="0"/>
                <w:sz w:val="21"/>
                <w:szCs w:val="21"/>
                <w:lang w:eastAsia="zh-CN"/>
              </w:rPr>
              <w:t>按</w:t>
            </w:r>
            <w:r>
              <w:rPr>
                <w:rFonts w:hint="eastAsia" w:ascii="仿宋" w:hAnsi="仿宋" w:eastAsia="仿宋" w:cs="仿宋"/>
                <w:kern w:val="0"/>
                <w:sz w:val="21"/>
                <w:szCs w:val="21"/>
              </w:rPr>
              <w:t>依据划分救助等级</w:t>
            </w:r>
          </w:p>
        </w:tc>
        <w:tc>
          <w:tcPr>
            <w:tcW w:w="1319" w:type="dxa"/>
            <w:gridSpan w:val="2"/>
            <w:vAlign w:val="center"/>
          </w:tcPr>
          <w:p>
            <w:pPr>
              <w:widowControl/>
              <w:snapToGrid w:val="0"/>
              <w:jc w:val="center"/>
              <w:rPr>
                <w:rFonts w:hint="eastAsia" w:ascii="仿宋" w:hAnsi="仿宋" w:eastAsia="仿宋" w:cs="仿宋"/>
                <w:kern w:val="0"/>
                <w:sz w:val="21"/>
                <w:szCs w:val="21"/>
                <w:lang w:val="en-US"/>
              </w:rPr>
            </w:pPr>
            <w:r>
              <w:rPr>
                <w:rFonts w:hint="eastAsia" w:ascii="仿宋" w:hAnsi="仿宋" w:eastAsia="仿宋" w:cs="仿宋"/>
                <w:kern w:val="0"/>
                <w:sz w:val="21"/>
                <w:szCs w:val="21"/>
                <w:lang w:val="en-US" w:eastAsia="zh-CN"/>
              </w:rPr>
              <w:t>100%</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restart"/>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效益指标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经济效益</w:t>
            </w:r>
            <w:r>
              <w:rPr>
                <w:rFonts w:hint="eastAsia" w:ascii="仿宋" w:hAnsi="仿宋" w:eastAsia="仿宋" w:cs="仿宋"/>
                <w:kern w:val="0"/>
                <w:sz w:val="21"/>
                <w:szCs w:val="21"/>
                <w:lang w:val="en-US" w:eastAsia="zh-CN"/>
              </w:rPr>
              <w:br w:type="textWrapping"/>
            </w:r>
            <w:r>
              <w:rPr>
                <w:rFonts w:hint="eastAsia" w:ascii="仿宋" w:hAnsi="仿宋" w:eastAsia="仿宋" w:cs="仿宋"/>
                <w:kern w:val="0"/>
                <w:sz w:val="21"/>
                <w:szCs w:val="21"/>
                <w:lang w:val="en-US" w:eastAsia="zh-CN"/>
              </w:rPr>
              <w:t>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经济健康有序发展</w:t>
            </w:r>
          </w:p>
        </w:tc>
        <w:tc>
          <w:tcPr>
            <w:tcW w:w="1466" w:type="dxa"/>
            <w:vAlign w:val="center"/>
          </w:tcPr>
          <w:p>
            <w:pPr>
              <w:widowControl/>
              <w:snapToGrid w:val="0"/>
              <w:jc w:val="both"/>
              <w:rPr>
                <w:rFonts w:hint="eastAsia" w:ascii="仿宋" w:hAnsi="仿宋" w:eastAsia="仿宋" w:cs="仿宋"/>
                <w:kern w:val="0"/>
                <w:sz w:val="21"/>
                <w:szCs w:val="21"/>
              </w:rPr>
            </w:pPr>
            <w:r>
              <w:rPr>
                <w:rFonts w:hint="eastAsia" w:ascii="仿宋" w:hAnsi="仿宋" w:eastAsia="仿宋" w:cs="仿宋"/>
                <w:kern w:val="0"/>
                <w:sz w:val="21"/>
                <w:szCs w:val="21"/>
              </w:rPr>
              <w:t>以维稳、司法救助维稳定保和谐</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98%</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社会效益指标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促进社会和谐稳定，维护司法权威和公信</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息诉罢访，群众满意</w:t>
            </w:r>
          </w:p>
        </w:tc>
        <w:tc>
          <w:tcPr>
            <w:tcW w:w="1319" w:type="dxa"/>
            <w:gridSpan w:val="2"/>
            <w:vAlign w:val="center"/>
          </w:tcPr>
          <w:p>
            <w:pPr>
              <w:bidi w:val="0"/>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95%</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生态效益指标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被救助的维稳对象满意率</w:t>
            </w:r>
          </w:p>
        </w:tc>
        <w:tc>
          <w:tcPr>
            <w:tcW w:w="1466" w:type="dxa"/>
            <w:vAlign w:val="center"/>
          </w:tcPr>
          <w:p>
            <w:pPr>
              <w:widowControl/>
              <w:snapToGrid w:val="0"/>
              <w:jc w:val="both"/>
              <w:rPr>
                <w:rFonts w:hint="eastAsia" w:ascii="仿宋" w:hAnsi="仿宋" w:eastAsia="仿宋" w:cs="仿宋"/>
                <w:kern w:val="0"/>
                <w:sz w:val="21"/>
                <w:szCs w:val="21"/>
              </w:rPr>
            </w:pPr>
            <w:r>
              <w:rPr>
                <w:rFonts w:hint="eastAsia" w:ascii="仿宋" w:hAnsi="仿宋" w:eastAsia="仿宋" w:cs="仿宋"/>
                <w:kern w:val="0"/>
                <w:sz w:val="21"/>
                <w:szCs w:val="21"/>
              </w:rPr>
              <w:t>提升救助的维稳对象满意率</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96%</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满意度指标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服务对象</w:t>
            </w:r>
          </w:p>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满意度</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群众满意度</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涉法涉诉案件减少，满意度持续提升</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98%</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1528"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年度目标</w:t>
            </w:r>
            <w:r>
              <w:rPr>
                <w:rFonts w:hint="eastAsia" w:ascii="仿宋" w:hAnsi="仿宋" w:eastAsia="仿宋" w:cs="仿宋"/>
                <w:kern w:val="0"/>
                <w:sz w:val="21"/>
                <w:szCs w:val="21"/>
                <w:lang w:val="en-US" w:eastAsia="zh-CN"/>
              </w:rPr>
              <w:t>4</w:t>
            </w: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10</w:t>
            </w:r>
            <w:r>
              <w:rPr>
                <w:rFonts w:hint="eastAsia" w:ascii="仿宋" w:hAnsi="仿宋" w:eastAsia="仿宋" w:cs="仿宋"/>
                <w:kern w:val="0"/>
                <w:sz w:val="21"/>
                <w:szCs w:val="21"/>
              </w:rPr>
              <w:t>分）</w:t>
            </w:r>
          </w:p>
        </w:tc>
        <w:tc>
          <w:tcPr>
            <w:tcW w:w="7420" w:type="dxa"/>
            <w:gridSpan w:val="8"/>
            <w:vAlign w:val="center"/>
          </w:tcPr>
          <w:p>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把群众安全感和满意度提升作为努力方向和目标，坚持打基础、利长远、抓治理、促平安。坚持以科技应用为引领，信息化建设为支撑，充分利用物联网、人工智能、大数据等现代应用技术，加快推进“雪亮工程”、公共安全视频监控联网、综治中心“三大”信息平台建设，夯实网格化管理基础，健全网格化管理机构，推进市级综治中心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restart"/>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年度绩效指标</w:t>
            </w:r>
            <w:r>
              <w:rPr>
                <w:rFonts w:hint="eastAsia" w:ascii="仿宋" w:hAnsi="仿宋" w:eastAsia="仿宋" w:cs="仿宋"/>
                <w:kern w:val="0"/>
                <w:sz w:val="21"/>
                <w:szCs w:val="21"/>
                <w:lang w:val="en-US" w:eastAsia="zh-CN"/>
              </w:rPr>
              <w:t>4</w:t>
            </w:r>
          </w:p>
        </w:tc>
        <w:tc>
          <w:tcPr>
            <w:tcW w:w="700" w:type="dxa"/>
            <w:vAlign w:val="center"/>
          </w:tcPr>
          <w:p>
            <w:pPr>
              <w:jc w:val="center"/>
              <w:rPr>
                <w:rFonts w:hint="eastAsia" w:ascii="仿宋" w:hAnsi="仿宋" w:eastAsia="仿宋" w:cs="仿宋"/>
                <w:kern w:val="0"/>
                <w:sz w:val="21"/>
                <w:szCs w:val="21"/>
              </w:rPr>
            </w:pPr>
            <w:r>
              <w:rPr>
                <w:rFonts w:hint="eastAsia" w:ascii="仿宋" w:hAnsi="仿宋" w:eastAsia="仿宋" w:cs="仿宋"/>
                <w:kern w:val="0"/>
                <w:sz w:val="21"/>
                <w:szCs w:val="21"/>
              </w:rPr>
              <w:t>一级指标</w:t>
            </w:r>
          </w:p>
        </w:tc>
        <w:tc>
          <w:tcPr>
            <w:tcW w:w="1122"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二级指标</w:t>
            </w:r>
          </w:p>
        </w:tc>
        <w:tc>
          <w:tcPr>
            <w:tcW w:w="2636" w:type="dxa"/>
            <w:gridSpan w:val="3"/>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三级指标</w:t>
            </w:r>
          </w:p>
        </w:tc>
        <w:tc>
          <w:tcPr>
            <w:tcW w:w="1466"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年初目标值（A）</w:t>
            </w:r>
          </w:p>
        </w:tc>
        <w:tc>
          <w:tcPr>
            <w:tcW w:w="1319"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实际完成值（B）</w:t>
            </w:r>
          </w:p>
        </w:tc>
        <w:tc>
          <w:tcPr>
            <w:tcW w:w="877"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restart"/>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产出指标</w:t>
            </w:r>
          </w:p>
        </w:tc>
        <w:tc>
          <w:tcPr>
            <w:tcW w:w="1122" w:type="dxa"/>
            <w:vAlign w:val="bottom"/>
          </w:tcPr>
          <w:p>
            <w:pPr>
              <w:keepNext w:val="0"/>
              <w:keepLines w:val="0"/>
              <w:widowControl/>
              <w:suppressLineNumbers w:val="0"/>
              <w:jc w:val="left"/>
              <w:textAlignment w:val="bottom"/>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数量指标</w:t>
            </w:r>
          </w:p>
        </w:tc>
        <w:tc>
          <w:tcPr>
            <w:tcW w:w="2636" w:type="dxa"/>
            <w:gridSpan w:val="3"/>
            <w:vAlign w:val="bottom"/>
          </w:tcPr>
          <w:p>
            <w:pPr>
              <w:keepNext w:val="0"/>
              <w:keepLines w:val="0"/>
              <w:widowControl/>
              <w:suppressLineNumbers w:val="0"/>
              <w:jc w:val="left"/>
              <w:textAlignment w:val="bottom"/>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推进市综治中心实体化运作程度</w:t>
            </w:r>
          </w:p>
        </w:tc>
        <w:tc>
          <w:tcPr>
            <w:tcW w:w="1466" w:type="dxa"/>
            <w:vAlign w:val="center"/>
          </w:tcPr>
          <w:p>
            <w:pPr>
              <w:widowControl/>
              <w:jc w:val="center"/>
              <w:rPr>
                <w:rFonts w:hint="eastAsia" w:ascii="仿宋" w:hAnsi="仿宋" w:eastAsia="仿宋" w:cs="仿宋"/>
                <w:kern w:val="0"/>
                <w:sz w:val="21"/>
                <w:szCs w:val="21"/>
                <w:lang w:val="en-US"/>
              </w:rPr>
            </w:pPr>
            <w:r>
              <w:rPr>
                <w:rFonts w:hint="eastAsia" w:ascii="仿宋" w:hAnsi="仿宋" w:eastAsia="仿宋" w:cs="仿宋"/>
                <w:kern w:val="0"/>
                <w:sz w:val="21"/>
                <w:szCs w:val="21"/>
                <w:lang w:eastAsia="zh-CN"/>
              </w:rPr>
              <w:t>≥</w:t>
            </w:r>
            <w:r>
              <w:rPr>
                <w:rFonts w:hint="eastAsia" w:ascii="仿宋" w:hAnsi="仿宋" w:eastAsia="仿宋" w:cs="仿宋"/>
                <w:kern w:val="0"/>
                <w:sz w:val="21"/>
                <w:szCs w:val="21"/>
                <w:lang w:val="en-US" w:eastAsia="zh-CN"/>
              </w:rPr>
              <w:t>70%</w:t>
            </w:r>
          </w:p>
        </w:tc>
        <w:tc>
          <w:tcPr>
            <w:tcW w:w="1319"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70%</w:t>
            </w:r>
          </w:p>
        </w:tc>
        <w:tc>
          <w:tcPr>
            <w:tcW w:w="877"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jc w:val="center"/>
              <w:rPr>
                <w:rFonts w:hint="eastAsia" w:ascii="仿宋" w:hAnsi="仿宋" w:eastAsia="仿宋" w:cs="仿宋"/>
                <w:kern w:val="0"/>
                <w:sz w:val="21"/>
                <w:szCs w:val="21"/>
              </w:rPr>
            </w:pPr>
          </w:p>
        </w:tc>
        <w:tc>
          <w:tcPr>
            <w:tcW w:w="1122" w:type="dxa"/>
            <w:vAlign w:val="bottom"/>
          </w:tcPr>
          <w:p>
            <w:pPr>
              <w:keepNext w:val="0"/>
              <w:keepLines w:val="0"/>
              <w:widowControl/>
              <w:suppressLineNumbers w:val="0"/>
              <w:jc w:val="left"/>
              <w:textAlignment w:val="bottom"/>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数量指标</w:t>
            </w:r>
          </w:p>
        </w:tc>
        <w:tc>
          <w:tcPr>
            <w:tcW w:w="2636" w:type="dxa"/>
            <w:gridSpan w:val="3"/>
            <w:vAlign w:val="bottom"/>
          </w:tcPr>
          <w:p>
            <w:pPr>
              <w:keepNext w:val="0"/>
              <w:keepLines w:val="0"/>
              <w:widowControl/>
              <w:suppressLineNumbers w:val="0"/>
              <w:jc w:val="left"/>
              <w:textAlignment w:val="bottom"/>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举办网格员培训班</w:t>
            </w:r>
          </w:p>
        </w:tc>
        <w:tc>
          <w:tcPr>
            <w:tcW w:w="1466"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每年完成≥</w:t>
            </w:r>
            <w:r>
              <w:rPr>
                <w:rFonts w:hint="eastAsia" w:ascii="仿宋" w:hAnsi="仿宋" w:eastAsia="仿宋" w:cs="仿宋"/>
                <w:kern w:val="0"/>
                <w:sz w:val="21"/>
                <w:szCs w:val="21"/>
                <w:lang w:val="en-US" w:eastAsia="zh-CN"/>
              </w:rPr>
              <w:t>2场</w:t>
            </w:r>
          </w:p>
        </w:tc>
        <w:tc>
          <w:tcPr>
            <w:tcW w:w="1319"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2场</w:t>
            </w:r>
          </w:p>
        </w:tc>
        <w:tc>
          <w:tcPr>
            <w:tcW w:w="877"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restart"/>
            <w:vAlign w:val="bottom"/>
          </w:tcPr>
          <w:p>
            <w:pPr>
              <w:keepNext w:val="0"/>
              <w:keepLines w:val="0"/>
              <w:widowControl/>
              <w:suppressLineNumbers w:val="0"/>
              <w:jc w:val="left"/>
              <w:textAlignment w:val="bottom"/>
              <w:rPr>
                <w:rFonts w:hint="eastAsia" w:ascii="仿宋" w:hAnsi="仿宋" w:eastAsia="仿宋" w:cs="仿宋"/>
                <w:kern w:val="0"/>
                <w:sz w:val="21"/>
                <w:szCs w:val="21"/>
              </w:rPr>
            </w:pPr>
            <w:r>
              <w:rPr>
                <w:rFonts w:hint="eastAsia" w:ascii="仿宋" w:hAnsi="仿宋" w:eastAsia="仿宋" w:cs="仿宋"/>
                <w:kern w:val="0"/>
                <w:sz w:val="21"/>
                <w:szCs w:val="21"/>
              </w:rPr>
              <w:t>效益指标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社会效益指标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打造社会治理半月谈阵地</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畅通群众诉求渠道</w:t>
            </w:r>
          </w:p>
        </w:tc>
        <w:tc>
          <w:tcPr>
            <w:tcW w:w="1319" w:type="dxa"/>
            <w:gridSpan w:val="2"/>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877"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bottom"/>
          </w:tcPr>
          <w:p>
            <w:pPr>
              <w:keepNext w:val="0"/>
              <w:keepLines w:val="0"/>
              <w:widowControl/>
              <w:suppressLineNumbers w:val="0"/>
              <w:jc w:val="left"/>
              <w:textAlignment w:val="bottom"/>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kern w:val="0"/>
                <w:sz w:val="21"/>
                <w:szCs w:val="21"/>
              </w:rPr>
              <w:t>效率指标</w:t>
            </w:r>
          </w:p>
        </w:tc>
        <w:tc>
          <w:tcPr>
            <w:tcW w:w="2636" w:type="dxa"/>
            <w:gridSpan w:val="3"/>
            <w:vAlign w:val="center"/>
          </w:tcPr>
          <w:p>
            <w:pPr>
              <w:widowControl/>
              <w:snapToGrid w:val="0"/>
              <w:jc w:val="left"/>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kern w:val="0"/>
                <w:sz w:val="21"/>
                <w:szCs w:val="21"/>
              </w:rPr>
              <w:t>打造政法协同办案工作室，提升政法部门办案协同工作效率</w:t>
            </w:r>
          </w:p>
        </w:tc>
        <w:tc>
          <w:tcPr>
            <w:tcW w:w="1466" w:type="dxa"/>
            <w:vAlign w:val="center"/>
          </w:tcPr>
          <w:p>
            <w:pPr>
              <w:widowControl/>
              <w:snapToGrid w:val="0"/>
              <w:rPr>
                <w:rFonts w:hint="eastAsia" w:ascii="仿宋" w:hAnsi="仿宋" w:eastAsia="仿宋" w:cs="仿宋"/>
                <w:kern w:val="0"/>
                <w:sz w:val="21"/>
                <w:szCs w:val="21"/>
              </w:rPr>
            </w:pPr>
            <w:r>
              <w:rPr>
                <w:rFonts w:hint="eastAsia" w:ascii="仿宋" w:hAnsi="仿宋" w:eastAsia="仿宋" w:cs="仿宋"/>
                <w:kern w:val="0"/>
                <w:sz w:val="21"/>
                <w:szCs w:val="21"/>
              </w:rPr>
              <w:t>提升执法效率</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98%</w:t>
            </w:r>
          </w:p>
        </w:tc>
        <w:tc>
          <w:tcPr>
            <w:tcW w:w="877"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restart"/>
            <w:vAlign w:val="center"/>
          </w:tcPr>
          <w:p>
            <w:pPr>
              <w:widowControl/>
              <w:snapToGrid w:val="0"/>
              <w:jc w:val="center"/>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rPr>
              <w:t>满意度指标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上级评价</w:t>
            </w:r>
          </w:p>
        </w:tc>
        <w:tc>
          <w:tcPr>
            <w:tcW w:w="2636" w:type="dxa"/>
            <w:gridSpan w:val="3"/>
            <w:vAlign w:val="center"/>
          </w:tcPr>
          <w:p>
            <w:pPr>
              <w:widowControl/>
              <w:snapToGrid w:val="0"/>
              <w:jc w:val="left"/>
              <w:rPr>
                <w:rFonts w:hint="eastAsia" w:ascii="仿宋" w:hAnsi="仿宋" w:eastAsia="仿宋" w:cs="仿宋"/>
                <w:kern w:val="0"/>
                <w:sz w:val="21"/>
                <w:szCs w:val="21"/>
              </w:rPr>
            </w:pPr>
            <w:r>
              <w:rPr>
                <w:rFonts w:hint="eastAsia" w:ascii="仿宋" w:hAnsi="仿宋" w:eastAsia="仿宋" w:cs="仿宋"/>
                <w:kern w:val="0"/>
                <w:sz w:val="21"/>
                <w:szCs w:val="21"/>
              </w:rPr>
              <w:t>1.省级调研评价</w:t>
            </w:r>
          </w:p>
          <w:p>
            <w:pPr>
              <w:widowControl/>
              <w:snapToGrid w:val="0"/>
              <w:jc w:val="left"/>
              <w:rPr>
                <w:rFonts w:hint="eastAsia" w:ascii="仿宋" w:hAnsi="仿宋" w:eastAsia="仿宋" w:cs="仿宋"/>
                <w:kern w:val="0"/>
                <w:sz w:val="21"/>
                <w:szCs w:val="21"/>
              </w:rPr>
            </w:pPr>
            <w:r>
              <w:rPr>
                <w:rFonts w:hint="eastAsia" w:ascii="仿宋" w:hAnsi="仿宋" w:eastAsia="仿宋" w:cs="仿宋"/>
                <w:kern w:val="0"/>
                <w:sz w:val="21"/>
                <w:szCs w:val="21"/>
              </w:rPr>
              <w:t>2.市领导评价</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认可</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100%</w:t>
            </w:r>
          </w:p>
        </w:tc>
        <w:tc>
          <w:tcPr>
            <w:tcW w:w="877"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同级认可</w:t>
            </w:r>
          </w:p>
        </w:tc>
        <w:tc>
          <w:tcPr>
            <w:tcW w:w="2636" w:type="dxa"/>
            <w:gridSpan w:val="3"/>
            <w:vAlign w:val="center"/>
          </w:tcPr>
          <w:p>
            <w:pPr>
              <w:widowControl/>
              <w:snapToGrid w:val="0"/>
              <w:jc w:val="left"/>
              <w:rPr>
                <w:rFonts w:hint="eastAsia" w:ascii="仿宋" w:hAnsi="仿宋" w:eastAsia="仿宋" w:cs="仿宋"/>
                <w:kern w:val="0"/>
                <w:sz w:val="21"/>
                <w:szCs w:val="21"/>
              </w:rPr>
            </w:pPr>
            <w:r>
              <w:rPr>
                <w:rFonts w:hint="eastAsia" w:ascii="仿宋" w:hAnsi="仿宋" w:eastAsia="仿宋" w:cs="仿宋"/>
                <w:kern w:val="0"/>
                <w:sz w:val="21"/>
                <w:szCs w:val="21"/>
              </w:rPr>
              <w:t>兄弟市州评价</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接待外地考察调研</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100%</w:t>
            </w:r>
          </w:p>
        </w:tc>
        <w:tc>
          <w:tcPr>
            <w:tcW w:w="877" w:type="dxa"/>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1528"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年度目标</w:t>
            </w:r>
            <w:r>
              <w:rPr>
                <w:rFonts w:hint="eastAsia" w:ascii="仿宋" w:hAnsi="仿宋" w:eastAsia="仿宋" w:cs="仿宋"/>
                <w:kern w:val="0"/>
                <w:sz w:val="21"/>
                <w:szCs w:val="21"/>
                <w:lang w:val="en-US" w:eastAsia="zh-CN"/>
              </w:rPr>
              <w:t>5</w:t>
            </w: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10</w:t>
            </w:r>
            <w:r>
              <w:rPr>
                <w:rFonts w:hint="eastAsia" w:ascii="仿宋" w:hAnsi="仿宋" w:eastAsia="仿宋" w:cs="仿宋"/>
                <w:kern w:val="0"/>
                <w:sz w:val="21"/>
                <w:szCs w:val="21"/>
              </w:rPr>
              <w:t>分）</w:t>
            </w:r>
          </w:p>
        </w:tc>
        <w:tc>
          <w:tcPr>
            <w:tcW w:w="7420" w:type="dxa"/>
            <w:gridSpan w:val="8"/>
            <w:vAlign w:val="center"/>
          </w:tcPr>
          <w:p>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遏制农村涉黑涉恶问题，全面整治重点行业、重点领域黑恶势力治安乱点，提升人民群众安全感满意度，铲除黑恶势力“保护伞”，优化基层组织建设环境，提升基层社会治理能力，健全涉黑涉恶违法犯罪防范打击长效机制，提高扫黑除恶工作法治化、规范化、专业化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restart"/>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年度绩效指标</w:t>
            </w:r>
            <w:r>
              <w:rPr>
                <w:rFonts w:hint="eastAsia" w:ascii="仿宋" w:hAnsi="仿宋" w:eastAsia="仿宋" w:cs="仿宋"/>
                <w:kern w:val="0"/>
                <w:sz w:val="21"/>
                <w:szCs w:val="21"/>
                <w:lang w:val="en-US" w:eastAsia="zh-CN"/>
              </w:rPr>
              <w:t>5</w:t>
            </w:r>
          </w:p>
        </w:tc>
        <w:tc>
          <w:tcPr>
            <w:tcW w:w="700" w:type="dxa"/>
            <w:vAlign w:val="center"/>
          </w:tcPr>
          <w:p>
            <w:pPr>
              <w:jc w:val="center"/>
              <w:rPr>
                <w:rFonts w:hint="eastAsia" w:ascii="仿宋" w:hAnsi="仿宋" w:eastAsia="仿宋" w:cs="仿宋"/>
                <w:kern w:val="0"/>
                <w:sz w:val="21"/>
                <w:szCs w:val="21"/>
              </w:rPr>
            </w:pPr>
            <w:r>
              <w:rPr>
                <w:rFonts w:hint="eastAsia" w:ascii="仿宋" w:hAnsi="仿宋" w:eastAsia="仿宋" w:cs="仿宋"/>
                <w:kern w:val="0"/>
                <w:sz w:val="21"/>
                <w:szCs w:val="21"/>
              </w:rPr>
              <w:t>一级指标</w:t>
            </w:r>
          </w:p>
        </w:tc>
        <w:tc>
          <w:tcPr>
            <w:tcW w:w="1122"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二级指标</w:t>
            </w:r>
          </w:p>
        </w:tc>
        <w:tc>
          <w:tcPr>
            <w:tcW w:w="2636" w:type="dxa"/>
            <w:gridSpan w:val="3"/>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三级指标</w:t>
            </w:r>
          </w:p>
        </w:tc>
        <w:tc>
          <w:tcPr>
            <w:tcW w:w="1466"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年初目标值（A）</w:t>
            </w:r>
          </w:p>
        </w:tc>
        <w:tc>
          <w:tcPr>
            <w:tcW w:w="1319"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实际完成值（B）</w:t>
            </w:r>
          </w:p>
        </w:tc>
        <w:tc>
          <w:tcPr>
            <w:tcW w:w="877" w:type="dxa"/>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restart"/>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产出指标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数量指标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全市扫黑除恶宣传、新闻媒体报道、黑恶案件研讨会</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宣传人数</w:t>
            </w:r>
            <w:r>
              <w:rPr>
                <w:rFonts w:hint="eastAsia" w:ascii="仿宋" w:hAnsi="仿宋" w:eastAsia="仿宋" w:cs="仿宋"/>
                <w:kern w:val="0"/>
                <w:sz w:val="21"/>
                <w:szCs w:val="21"/>
                <w:lang w:val="en-US" w:eastAsia="zh-CN"/>
              </w:rPr>
              <w:t>100万人次、新闻媒体专栏</w:t>
            </w:r>
            <w:r>
              <w:rPr>
                <w:rFonts w:hint="eastAsia" w:ascii="仿宋" w:hAnsi="仿宋" w:eastAsia="仿宋" w:cs="仿宋"/>
                <w:kern w:val="0"/>
                <w:sz w:val="21"/>
                <w:szCs w:val="21"/>
                <w:lang w:eastAsia="zh-CN"/>
              </w:rPr>
              <w:t>≥</w:t>
            </w:r>
            <w:r>
              <w:rPr>
                <w:rFonts w:hint="eastAsia" w:ascii="仿宋" w:hAnsi="仿宋" w:eastAsia="仿宋" w:cs="仿宋"/>
                <w:kern w:val="0"/>
                <w:sz w:val="21"/>
                <w:szCs w:val="21"/>
                <w:lang w:val="en-US" w:eastAsia="zh-CN"/>
              </w:rPr>
              <w:t>10个，召开研讨会</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媒体专栏10个</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质量指标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常态化机制、涉黑涉恶案件</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常态化机制初步建立，无错诉错判案件</w:t>
            </w:r>
          </w:p>
        </w:tc>
        <w:tc>
          <w:tcPr>
            <w:tcW w:w="1319" w:type="dxa"/>
            <w:gridSpan w:val="2"/>
            <w:vAlign w:val="center"/>
          </w:tcPr>
          <w:p>
            <w:pPr>
              <w:widowControl/>
              <w:snapToGrid w:val="0"/>
              <w:jc w:val="center"/>
              <w:rPr>
                <w:rFonts w:hint="eastAsia" w:ascii="仿宋" w:hAnsi="仿宋" w:eastAsia="仿宋" w:cs="仿宋"/>
                <w:kern w:val="0"/>
                <w:sz w:val="21"/>
                <w:szCs w:val="21"/>
                <w:lang w:val="en-US"/>
              </w:rPr>
            </w:pPr>
            <w:r>
              <w:rPr>
                <w:rFonts w:hint="eastAsia" w:ascii="仿宋" w:hAnsi="仿宋" w:eastAsia="仿宋" w:cs="仿宋"/>
                <w:kern w:val="0"/>
                <w:sz w:val="21"/>
                <w:szCs w:val="21"/>
                <w:lang w:val="en-US" w:eastAsia="zh-CN"/>
              </w:rPr>
              <w:t>100%</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restart"/>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效益指标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经济效益指标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经济环境</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优化经济环境，确保社会经济正常有序发展</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99%</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社会效益指标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公正执法满意度、社会面治安情况</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提高公正执法满意度、社会面无黑恶势力</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95%</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生态效益指标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无黑恶势力，无“保护伞”</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扫除黑恶势力、打伞破网</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95%</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Merge w:val="continue"/>
            <w:vAlign w:val="center"/>
          </w:tcPr>
          <w:p>
            <w:pPr>
              <w:widowControl/>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可持续影响</w:t>
            </w:r>
            <w:r>
              <w:rPr>
                <w:rFonts w:hint="eastAsia" w:ascii="仿宋" w:hAnsi="仿宋" w:eastAsia="仿宋" w:cs="仿宋"/>
                <w:kern w:val="0"/>
                <w:sz w:val="21"/>
                <w:szCs w:val="21"/>
              </w:rPr>
              <w:t>指标</w:t>
            </w:r>
          </w:p>
        </w:tc>
        <w:tc>
          <w:tcPr>
            <w:tcW w:w="2636" w:type="dxa"/>
            <w:gridSpan w:val="3"/>
            <w:vAlign w:val="center"/>
          </w:tcPr>
          <w:p>
            <w:pPr>
              <w:widowControl/>
              <w:snapToGrid w:val="0"/>
              <w:jc w:val="left"/>
              <w:rPr>
                <w:rFonts w:hint="eastAsia" w:ascii="仿宋" w:hAnsi="仿宋" w:eastAsia="仿宋" w:cs="仿宋"/>
                <w:kern w:val="0"/>
                <w:sz w:val="21"/>
                <w:szCs w:val="21"/>
              </w:rPr>
            </w:pPr>
            <w:r>
              <w:rPr>
                <w:rFonts w:hint="eastAsia" w:ascii="仿宋" w:hAnsi="仿宋" w:eastAsia="仿宋" w:cs="仿宋"/>
                <w:kern w:val="0"/>
                <w:sz w:val="21"/>
                <w:szCs w:val="21"/>
                <w:lang w:eastAsia="zh-CN"/>
              </w:rPr>
              <w:t>扫黑除恶常态化和法治化营商环境</w:t>
            </w:r>
          </w:p>
        </w:tc>
        <w:tc>
          <w:tcPr>
            <w:tcW w:w="1466" w:type="dxa"/>
            <w:vAlign w:val="center"/>
          </w:tcPr>
          <w:p>
            <w:pPr>
              <w:widowControl/>
              <w:snapToGrid w:val="0"/>
              <w:rPr>
                <w:rFonts w:hint="eastAsia" w:ascii="仿宋" w:hAnsi="仿宋" w:eastAsia="仿宋" w:cs="仿宋"/>
                <w:kern w:val="0"/>
                <w:sz w:val="21"/>
                <w:szCs w:val="21"/>
              </w:rPr>
            </w:pPr>
            <w:r>
              <w:rPr>
                <w:rFonts w:hint="eastAsia" w:ascii="仿宋" w:hAnsi="仿宋" w:eastAsia="仿宋" w:cs="仿宋"/>
                <w:kern w:val="0"/>
                <w:sz w:val="21"/>
                <w:szCs w:val="21"/>
                <w:lang w:eastAsia="zh-CN"/>
              </w:rPr>
              <w:t>扫黑除恶常态化，营商环境优化</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96%</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jc w:val="center"/>
              <w:rPr>
                <w:rFonts w:hint="eastAsia" w:ascii="仿宋" w:hAnsi="仿宋" w:eastAsia="仿宋" w:cs="仿宋"/>
                <w:kern w:val="0"/>
                <w:sz w:val="21"/>
                <w:szCs w:val="21"/>
              </w:rPr>
            </w:pPr>
          </w:p>
        </w:tc>
        <w:tc>
          <w:tcPr>
            <w:tcW w:w="700"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满意度指标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满意度指标</w:t>
            </w:r>
          </w:p>
        </w:tc>
        <w:tc>
          <w:tcPr>
            <w:tcW w:w="2636" w:type="dxa"/>
            <w:gridSpan w:val="3"/>
            <w:vAlign w:val="center"/>
          </w:tcPr>
          <w:p>
            <w:pPr>
              <w:widowControl/>
              <w:snapToGrid w:val="0"/>
              <w:jc w:val="left"/>
              <w:rPr>
                <w:rFonts w:hint="eastAsia" w:ascii="仿宋" w:hAnsi="仿宋" w:eastAsia="仿宋" w:cs="仿宋"/>
                <w:kern w:val="0"/>
                <w:sz w:val="21"/>
                <w:szCs w:val="21"/>
              </w:rPr>
            </w:pPr>
            <w:r>
              <w:rPr>
                <w:rFonts w:hint="eastAsia" w:ascii="仿宋" w:hAnsi="仿宋" w:eastAsia="仿宋" w:cs="仿宋"/>
                <w:kern w:val="0"/>
                <w:sz w:val="21"/>
                <w:szCs w:val="21"/>
                <w:lang w:eastAsia="zh-CN"/>
              </w:rPr>
              <w:t>满意度指标</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社会治安持续向好，群众安全感、幸福感、满意度持续提升</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98%</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4" w:hRule="atLeast"/>
          <w:jc w:val="center"/>
        </w:trPr>
        <w:tc>
          <w:tcPr>
            <w:tcW w:w="1528" w:type="dxa"/>
            <w:gridSpan w:val="2"/>
            <w:vAlign w:val="center"/>
          </w:tcPr>
          <w:p>
            <w:pPr>
              <w:widowControl/>
              <w:tabs>
                <w:tab w:val="left" w:pos="519"/>
              </w:tabs>
              <w:jc w:val="left"/>
              <w:rPr>
                <w:rFonts w:hint="eastAsia" w:ascii="仿宋" w:hAnsi="仿宋" w:eastAsia="仿宋" w:cs="仿宋"/>
                <w:kern w:val="0"/>
                <w:sz w:val="21"/>
                <w:szCs w:val="21"/>
                <w:lang w:eastAsia="zh-CN"/>
              </w:rPr>
            </w:pPr>
            <w:r>
              <w:rPr>
                <w:rFonts w:hint="eastAsia" w:ascii="仿宋" w:hAnsi="仿宋" w:eastAsia="仿宋" w:cs="仿宋"/>
                <w:kern w:val="0"/>
                <w:sz w:val="21"/>
                <w:szCs w:val="21"/>
              </w:rPr>
              <w:t>年度目标</w:t>
            </w:r>
            <w:r>
              <w:rPr>
                <w:rFonts w:hint="eastAsia" w:ascii="仿宋" w:hAnsi="仿宋" w:eastAsia="仿宋" w:cs="仿宋"/>
                <w:kern w:val="0"/>
                <w:sz w:val="21"/>
                <w:szCs w:val="21"/>
                <w:lang w:val="en-US" w:eastAsia="zh-CN"/>
              </w:rPr>
              <w:t>6</w:t>
            </w: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10</w:t>
            </w:r>
            <w:r>
              <w:rPr>
                <w:rFonts w:hint="eastAsia" w:ascii="仿宋" w:hAnsi="仿宋" w:eastAsia="仿宋" w:cs="仿宋"/>
                <w:kern w:val="0"/>
                <w:sz w:val="21"/>
                <w:szCs w:val="21"/>
              </w:rPr>
              <w:t>分）</w:t>
            </w:r>
          </w:p>
        </w:tc>
        <w:tc>
          <w:tcPr>
            <w:tcW w:w="7420" w:type="dxa"/>
            <w:gridSpan w:val="8"/>
            <w:vAlign w:val="center"/>
          </w:tcPr>
          <w:p>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贯彻落实上级工作部署，确保护路联防工作保障有力、运转正常，铁路沿线安全稳定万无一失。定期开展铁路沿线综合治理、专项整治、平安创建活动宣传，健全完善铁路基础设施、联防队员装备购置，加强爱路护路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restart"/>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年度绩效目标</w:t>
            </w:r>
          </w:p>
        </w:tc>
        <w:tc>
          <w:tcPr>
            <w:tcW w:w="700" w:type="dxa"/>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一级指标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二级指标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三级指标</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年初目标值（A）</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实际完成值（B）</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snapToGrid w:val="0"/>
              <w:jc w:val="center"/>
              <w:rPr>
                <w:rFonts w:hint="eastAsia" w:ascii="仿宋" w:hAnsi="仿宋" w:eastAsia="仿宋" w:cs="仿宋"/>
                <w:kern w:val="0"/>
                <w:sz w:val="21"/>
                <w:szCs w:val="21"/>
              </w:rPr>
            </w:pPr>
          </w:p>
        </w:tc>
        <w:tc>
          <w:tcPr>
            <w:tcW w:w="700" w:type="dxa"/>
            <w:vMerge w:val="restart"/>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产出指标</w:t>
            </w:r>
          </w:p>
        </w:tc>
        <w:tc>
          <w:tcPr>
            <w:tcW w:w="1122" w:type="dxa"/>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数量指标</w:t>
            </w:r>
          </w:p>
        </w:tc>
        <w:tc>
          <w:tcPr>
            <w:tcW w:w="2636" w:type="dxa"/>
            <w:gridSpan w:val="3"/>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维修更换高清视频监控探头</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维修更换高清探头79个</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完成90%探头维护</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snapToGrid w:val="0"/>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质量指标</w:t>
            </w:r>
          </w:p>
        </w:tc>
        <w:tc>
          <w:tcPr>
            <w:tcW w:w="2636" w:type="dxa"/>
            <w:gridSpan w:val="3"/>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涉铁路事故</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涉铁路事故零死亡</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0人次</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snapToGrid w:val="0"/>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时效指标</w:t>
            </w:r>
          </w:p>
        </w:tc>
        <w:tc>
          <w:tcPr>
            <w:tcW w:w="2636" w:type="dxa"/>
            <w:gridSpan w:val="3"/>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铁路沿线安全</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铁路沿线不发生危及铁路安全的案事件</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铁路沿线未发生较大危及铁路安全的案事件</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snapToGrid w:val="0"/>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成本指标</w:t>
            </w:r>
          </w:p>
        </w:tc>
        <w:tc>
          <w:tcPr>
            <w:tcW w:w="2636" w:type="dxa"/>
            <w:gridSpan w:val="3"/>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探头运行成本</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探头运行成本保障到位</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探头均可使用</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snapToGrid w:val="0"/>
              <w:jc w:val="center"/>
              <w:rPr>
                <w:rFonts w:hint="eastAsia" w:ascii="仿宋" w:hAnsi="仿宋" w:eastAsia="仿宋" w:cs="仿宋"/>
                <w:kern w:val="0"/>
                <w:sz w:val="21"/>
                <w:szCs w:val="21"/>
              </w:rPr>
            </w:pPr>
          </w:p>
        </w:tc>
        <w:tc>
          <w:tcPr>
            <w:tcW w:w="700" w:type="dxa"/>
            <w:vMerge w:val="restart"/>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效益指标</w:t>
            </w:r>
          </w:p>
        </w:tc>
        <w:tc>
          <w:tcPr>
            <w:tcW w:w="1122" w:type="dxa"/>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经济效益指标</w:t>
            </w:r>
          </w:p>
        </w:tc>
        <w:tc>
          <w:tcPr>
            <w:tcW w:w="2636" w:type="dxa"/>
            <w:gridSpan w:val="3"/>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铁路运输安全</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不发生涉铁安全事故</w:t>
            </w:r>
          </w:p>
        </w:tc>
        <w:tc>
          <w:tcPr>
            <w:tcW w:w="1319" w:type="dxa"/>
            <w:gridSpan w:val="2"/>
            <w:vAlign w:val="center"/>
          </w:tcPr>
          <w:p>
            <w:pPr>
              <w:widowControl/>
              <w:snapToGrid w:val="0"/>
              <w:jc w:val="center"/>
              <w:rPr>
                <w:rFonts w:hint="eastAsia" w:ascii="仿宋" w:hAnsi="仿宋" w:eastAsia="仿宋" w:cs="仿宋"/>
                <w:kern w:val="0"/>
                <w:sz w:val="21"/>
                <w:szCs w:val="21"/>
                <w:lang w:val="en-US"/>
              </w:rPr>
            </w:pPr>
            <w:r>
              <w:rPr>
                <w:rFonts w:hint="eastAsia" w:ascii="仿宋" w:hAnsi="仿宋" w:eastAsia="仿宋" w:cs="仿宋"/>
                <w:kern w:val="0"/>
                <w:sz w:val="21"/>
                <w:szCs w:val="21"/>
                <w:lang w:val="en-US" w:eastAsia="zh-CN"/>
              </w:rPr>
              <w:t>事故0次</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snapToGrid w:val="0"/>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社会效益指标</w:t>
            </w:r>
          </w:p>
        </w:tc>
        <w:tc>
          <w:tcPr>
            <w:tcW w:w="2636" w:type="dxa"/>
            <w:gridSpan w:val="3"/>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督查检查铁路隐患整改</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开展督查整改次数不少于10次</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看展督导11次</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snapToGrid w:val="0"/>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生态效益指标</w:t>
            </w:r>
          </w:p>
        </w:tc>
        <w:tc>
          <w:tcPr>
            <w:tcW w:w="2636" w:type="dxa"/>
            <w:gridSpan w:val="3"/>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铁路沿线环境整治</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结合美丽乡村美化铁路沿线环境</w:t>
            </w:r>
          </w:p>
        </w:tc>
        <w:tc>
          <w:tcPr>
            <w:tcW w:w="1319" w:type="dxa"/>
            <w:gridSpan w:val="2"/>
            <w:vAlign w:val="center"/>
          </w:tcPr>
          <w:p>
            <w:pPr>
              <w:widowControl/>
              <w:snapToGrid w:val="0"/>
              <w:jc w:val="both"/>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沿线新建口袋公园2处</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snapToGrid w:val="0"/>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可持续影响指标</w:t>
            </w:r>
          </w:p>
        </w:tc>
        <w:tc>
          <w:tcPr>
            <w:tcW w:w="2636" w:type="dxa"/>
            <w:gridSpan w:val="3"/>
            <w:vAlign w:val="bottom"/>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铁路护路宣传</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护路宣传50万人次</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宣传55万人次</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528" w:type="dxa"/>
            <w:gridSpan w:val="2"/>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rPr>
              <w:t>年度绩效目标</w:t>
            </w:r>
            <w:r>
              <w:rPr>
                <w:rFonts w:hint="eastAsia" w:ascii="仿宋" w:hAnsi="仿宋" w:eastAsia="仿宋" w:cs="仿宋"/>
                <w:kern w:val="0"/>
                <w:sz w:val="21"/>
                <w:szCs w:val="21"/>
                <w:lang w:val="en-US" w:eastAsia="zh-CN"/>
              </w:rPr>
              <w:t>7</w:t>
            </w:r>
          </w:p>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10</w:t>
            </w:r>
            <w:r>
              <w:rPr>
                <w:rFonts w:hint="eastAsia" w:ascii="仿宋" w:hAnsi="仿宋" w:eastAsia="仿宋" w:cs="仿宋"/>
                <w:kern w:val="0"/>
                <w:sz w:val="21"/>
                <w:szCs w:val="21"/>
              </w:rPr>
              <w:t>分）</w:t>
            </w:r>
          </w:p>
        </w:tc>
        <w:tc>
          <w:tcPr>
            <w:tcW w:w="7420" w:type="dxa"/>
            <w:gridSpan w:val="8"/>
            <w:vAlign w:val="center"/>
          </w:tcPr>
          <w:p>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全面完成市委政法委“1234”工程。加强总体规划，加强资源整合，统筹抓好基础设施建设（如：横向纵向网络线路、应急指挥中心场所、数据存储设备和机房、政法专网机关局域网专用电脑、安全产品等）和软件平台的部署开发升级工作。完成视频会议系统向乡镇延伸工作。应急指挥中心、综治网格化中心等平台建设要与市域社会治理现代化试点工作结合起来，合力推进。</w:t>
            </w:r>
          </w:p>
          <w:p>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全面推进“雪亮工程”建设。按照“全域覆盖、全网共享、全时可用、全程可控”的目标要求，加快“雪亮工程”建设。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restart"/>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rPr>
              <w:t>年度绩效目标</w:t>
            </w:r>
            <w:r>
              <w:rPr>
                <w:rFonts w:hint="eastAsia" w:ascii="仿宋" w:hAnsi="仿宋" w:eastAsia="仿宋" w:cs="仿宋"/>
                <w:kern w:val="0"/>
                <w:sz w:val="21"/>
                <w:szCs w:val="21"/>
                <w:lang w:val="en-US" w:eastAsia="zh-CN"/>
              </w:rPr>
              <w:t>7</w:t>
            </w:r>
          </w:p>
        </w:tc>
        <w:tc>
          <w:tcPr>
            <w:tcW w:w="700" w:type="dxa"/>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一级指标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二级指标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三级指标</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年初目标值（A）</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实际完成值（B）</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snapToGrid w:val="0"/>
              <w:jc w:val="center"/>
              <w:rPr>
                <w:rFonts w:hint="eastAsia" w:ascii="仿宋" w:hAnsi="仿宋" w:eastAsia="仿宋" w:cs="仿宋"/>
                <w:kern w:val="0"/>
                <w:sz w:val="21"/>
                <w:szCs w:val="21"/>
              </w:rPr>
            </w:pPr>
          </w:p>
        </w:tc>
        <w:tc>
          <w:tcPr>
            <w:tcW w:w="700" w:type="dxa"/>
            <w:vMerge w:val="restart"/>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产出指标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数量指标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网络建设全覆盖</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全市26个乡镇联通政法专网</w:t>
            </w:r>
          </w:p>
        </w:tc>
        <w:tc>
          <w:tcPr>
            <w:tcW w:w="1319" w:type="dxa"/>
            <w:gridSpan w:val="2"/>
            <w:vAlign w:val="center"/>
          </w:tcPr>
          <w:p>
            <w:pPr>
              <w:widowControl/>
              <w:snapToGrid w:val="0"/>
              <w:jc w:val="center"/>
              <w:rPr>
                <w:rFonts w:hint="eastAsia" w:ascii="仿宋" w:hAnsi="仿宋" w:eastAsia="仿宋" w:cs="仿宋"/>
                <w:kern w:val="0"/>
                <w:sz w:val="21"/>
                <w:szCs w:val="21"/>
              </w:rPr>
            </w:pPr>
          </w:p>
          <w:p>
            <w:pPr>
              <w:bidi w:val="0"/>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95%</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snapToGrid w:val="0"/>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质量指标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 xml:space="preserve"> 建立健全网上网下联动机制</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建立健全网上网下联动机制</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95%</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snapToGrid w:val="0"/>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时效指标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形成实战效能</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形成实战效能，服务政法工作</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93%</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snapToGrid w:val="0"/>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成本指标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网络线路租用成本</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保障网络线路正常运行</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98%</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snapToGrid w:val="0"/>
              <w:jc w:val="center"/>
              <w:rPr>
                <w:rFonts w:hint="eastAsia" w:ascii="仿宋" w:hAnsi="仿宋" w:eastAsia="仿宋" w:cs="仿宋"/>
                <w:kern w:val="0"/>
                <w:sz w:val="21"/>
                <w:szCs w:val="21"/>
              </w:rPr>
            </w:pPr>
          </w:p>
        </w:tc>
        <w:tc>
          <w:tcPr>
            <w:tcW w:w="700" w:type="dxa"/>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效益指标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经济效益</w:t>
            </w:r>
          </w:p>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系统维护可用</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系统维护</w:t>
            </w:r>
            <w:r>
              <w:rPr>
                <w:rFonts w:hint="eastAsia" w:ascii="仿宋" w:hAnsi="仿宋" w:eastAsia="仿宋" w:cs="仿宋"/>
                <w:kern w:val="0"/>
                <w:sz w:val="21"/>
                <w:szCs w:val="21"/>
                <w:lang w:eastAsia="zh-CN"/>
              </w:rPr>
              <w:t>经济实用</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93%</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snapToGrid w:val="0"/>
              <w:jc w:val="center"/>
              <w:rPr>
                <w:rFonts w:hint="eastAsia" w:ascii="仿宋" w:hAnsi="仿宋" w:eastAsia="仿宋" w:cs="仿宋"/>
                <w:kern w:val="0"/>
                <w:sz w:val="21"/>
                <w:szCs w:val="21"/>
              </w:rPr>
            </w:pPr>
          </w:p>
        </w:tc>
        <w:tc>
          <w:tcPr>
            <w:tcW w:w="700"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满意度指标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服务对象</w:t>
            </w:r>
          </w:p>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满意度指标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政法智能化建设</w:t>
            </w:r>
            <w:r>
              <w:rPr>
                <w:rFonts w:hint="eastAsia" w:ascii="仿宋" w:hAnsi="仿宋" w:eastAsia="仿宋" w:cs="仿宋"/>
                <w:kern w:val="0"/>
                <w:sz w:val="21"/>
                <w:szCs w:val="21"/>
                <w:lang w:eastAsia="zh-CN"/>
              </w:rPr>
              <w:t>系统</w:t>
            </w:r>
            <w:r>
              <w:rPr>
                <w:rFonts w:hint="eastAsia" w:ascii="仿宋" w:hAnsi="仿宋" w:eastAsia="仿宋" w:cs="仿宋"/>
                <w:kern w:val="0"/>
                <w:sz w:val="21"/>
                <w:szCs w:val="21"/>
              </w:rPr>
              <w:t>使用人员</w:t>
            </w:r>
            <w:r>
              <w:rPr>
                <w:rFonts w:hint="eastAsia" w:ascii="仿宋" w:hAnsi="仿宋" w:eastAsia="仿宋" w:cs="仿宋"/>
                <w:kern w:val="0"/>
                <w:sz w:val="21"/>
                <w:szCs w:val="21"/>
                <w:lang w:eastAsia="zh-CN"/>
              </w:rPr>
              <w:t>满意</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使用人员满意</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96%</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1528" w:type="dxa"/>
            <w:gridSpan w:val="2"/>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年度绩效目标</w:t>
            </w:r>
            <w:r>
              <w:rPr>
                <w:rFonts w:hint="eastAsia" w:ascii="仿宋" w:hAnsi="仿宋" w:eastAsia="仿宋" w:cs="仿宋"/>
                <w:kern w:val="0"/>
                <w:sz w:val="21"/>
                <w:szCs w:val="21"/>
                <w:lang w:val="en-US" w:eastAsia="zh-CN"/>
              </w:rPr>
              <w:t>8</w:t>
            </w: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10</w:t>
            </w:r>
            <w:r>
              <w:rPr>
                <w:rFonts w:hint="eastAsia" w:ascii="仿宋" w:hAnsi="仿宋" w:eastAsia="仿宋" w:cs="仿宋"/>
                <w:kern w:val="0"/>
                <w:sz w:val="21"/>
                <w:szCs w:val="21"/>
              </w:rPr>
              <w:t>分）</w:t>
            </w:r>
          </w:p>
        </w:tc>
        <w:tc>
          <w:tcPr>
            <w:tcW w:w="7420" w:type="dxa"/>
            <w:gridSpan w:val="8"/>
            <w:vAlign w:val="center"/>
          </w:tcPr>
          <w:p>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以立足鄂州、研究鄂州、服务鄂州为原则，以建设法治社会、创新社会治理为主线，以服务大局、服务法学法律工作者为内容，以队伍建设为根本，团结凝聚广大法学法律工作者，努力为经济社会发展和法治鄂州、平安鄂州建设作出积极贡献，达到“有人员负责、有办公场所、有活动经费”的基本要求，向“有机制保障、有人才队伍、有工作成效”的目标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restart"/>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rPr>
              <w:t>年度绩效目标</w:t>
            </w:r>
            <w:r>
              <w:rPr>
                <w:rFonts w:hint="eastAsia" w:ascii="仿宋" w:hAnsi="仿宋" w:eastAsia="仿宋" w:cs="仿宋"/>
                <w:kern w:val="0"/>
                <w:sz w:val="21"/>
                <w:szCs w:val="21"/>
                <w:lang w:val="en-US" w:eastAsia="zh-CN"/>
              </w:rPr>
              <w:t>8</w:t>
            </w:r>
          </w:p>
          <w:p>
            <w:pPr>
              <w:widowControl/>
              <w:snapToGrid w:val="0"/>
              <w:jc w:val="center"/>
              <w:rPr>
                <w:rFonts w:hint="eastAsia" w:ascii="仿宋" w:hAnsi="仿宋" w:eastAsia="仿宋" w:cs="仿宋"/>
                <w:kern w:val="0"/>
                <w:sz w:val="21"/>
                <w:szCs w:val="21"/>
              </w:rPr>
            </w:pPr>
          </w:p>
        </w:tc>
        <w:tc>
          <w:tcPr>
            <w:tcW w:w="700" w:type="dxa"/>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一级指标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二级指标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三级指标</w:t>
            </w:r>
          </w:p>
        </w:tc>
        <w:tc>
          <w:tcPr>
            <w:tcW w:w="1466"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年初目标值（A）</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实际完成值（B）</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snapToGrid w:val="0"/>
              <w:jc w:val="center"/>
              <w:rPr>
                <w:rFonts w:hint="eastAsia" w:ascii="仿宋" w:hAnsi="仿宋" w:eastAsia="仿宋" w:cs="仿宋"/>
                <w:kern w:val="0"/>
                <w:sz w:val="21"/>
                <w:szCs w:val="21"/>
              </w:rPr>
            </w:pPr>
          </w:p>
        </w:tc>
        <w:tc>
          <w:tcPr>
            <w:tcW w:w="700" w:type="dxa"/>
            <w:vMerge w:val="restart"/>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产出指标</w:t>
            </w:r>
          </w:p>
        </w:tc>
        <w:tc>
          <w:tcPr>
            <w:tcW w:w="1122" w:type="dxa"/>
            <w:vAlign w:val="bottom"/>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数量指标</w:t>
            </w:r>
          </w:p>
        </w:tc>
        <w:tc>
          <w:tcPr>
            <w:tcW w:w="2636" w:type="dxa"/>
            <w:gridSpan w:val="3"/>
            <w:vAlign w:val="bottom"/>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推进五个实践基地建设</w:t>
            </w:r>
          </w:p>
        </w:tc>
        <w:tc>
          <w:tcPr>
            <w:tcW w:w="1466" w:type="dxa"/>
            <w:vAlign w:val="bottom"/>
          </w:tcPr>
          <w:p>
            <w:pPr>
              <w:keepNext w:val="0"/>
              <w:keepLines w:val="0"/>
              <w:widowControl/>
              <w:suppressLineNumbers w:val="0"/>
              <w:jc w:val="center"/>
              <w:textAlignment w:val="bottom"/>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≥5个</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5个</w:t>
            </w:r>
          </w:p>
        </w:tc>
        <w:tc>
          <w:tcPr>
            <w:tcW w:w="877"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snapToGrid w:val="0"/>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bottom"/>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数量指标</w:t>
            </w:r>
          </w:p>
        </w:tc>
        <w:tc>
          <w:tcPr>
            <w:tcW w:w="2636" w:type="dxa"/>
            <w:gridSpan w:val="3"/>
            <w:vAlign w:val="bottom"/>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举办研讨会、报告会、发展会员</w:t>
            </w:r>
          </w:p>
        </w:tc>
        <w:tc>
          <w:tcPr>
            <w:tcW w:w="1466" w:type="dxa"/>
            <w:vAlign w:val="bottom"/>
          </w:tcPr>
          <w:p>
            <w:pPr>
              <w:keepNext w:val="0"/>
              <w:keepLines w:val="0"/>
              <w:widowControl/>
              <w:suppressLineNumbers w:val="0"/>
              <w:jc w:val="center"/>
              <w:textAlignment w:val="bottom"/>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≥2场</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2场</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snapToGrid w:val="0"/>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bottom"/>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质量指标</w:t>
            </w:r>
          </w:p>
        </w:tc>
        <w:tc>
          <w:tcPr>
            <w:tcW w:w="2636" w:type="dxa"/>
            <w:gridSpan w:val="3"/>
            <w:vAlign w:val="bottom"/>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围绕法治保障、法律实施出现的热点、难点问题开展调查研究</w:t>
            </w:r>
          </w:p>
        </w:tc>
        <w:tc>
          <w:tcPr>
            <w:tcW w:w="1466" w:type="dxa"/>
            <w:vAlign w:val="bottom"/>
          </w:tcPr>
          <w:p>
            <w:pPr>
              <w:keepNext w:val="0"/>
              <w:keepLines w:val="0"/>
              <w:widowControl/>
              <w:suppressLineNumbers w:val="0"/>
              <w:ind w:firstLine="420" w:firstLineChars="200"/>
              <w:jc w:val="both"/>
              <w:textAlignment w:val="bottom"/>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≥2次</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2次</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snapToGrid w:val="0"/>
              <w:jc w:val="center"/>
              <w:rPr>
                <w:rFonts w:hint="eastAsia" w:ascii="仿宋" w:hAnsi="仿宋" w:eastAsia="仿宋" w:cs="仿宋"/>
                <w:kern w:val="0"/>
                <w:sz w:val="21"/>
                <w:szCs w:val="21"/>
              </w:rPr>
            </w:pPr>
          </w:p>
        </w:tc>
        <w:tc>
          <w:tcPr>
            <w:tcW w:w="700" w:type="dxa"/>
            <w:vMerge w:val="restart"/>
            <w:vAlign w:val="center"/>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效益指标</w:t>
            </w:r>
          </w:p>
        </w:tc>
        <w:tc>
          <w:tcPr>
            <w:tcW w:w="1122" w:type="dxa"/>
            <w:vAlign w:val="bottom"/>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经济效益指标</w:t>
            </w:r>
          </w:p>
        </w:tc>
        <w:tc>
          <w:tcPr>
            <w:tcW w:w="2636" w:type="dxa"/>
            <w:gridSpan w:val="3"/>
            <w:vAlign w:val="bottom"/>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满足群众法律需求，帮助化解社会矛盾，维护社会稳定</w:t>
            </w:r>
          </w:p>
        </w:tc>
        <w:tc>
          <w:tcPr>
            <w:tcW w:w="1466" w:type="dxa"/>
            <w:vAlign w:val="bottom"/>
          </w:tcPr>
          <w:p>
            <w:pPr>
              <w:keepNext w:val="0"/>
              <w:keepLines w:val="0"/>
              <w:widowControl/>
              <w:suppressLineNumbers w:val="0"/>
              <w:jc w:val="center"/>
              <w:textAlignment w:val="bottom"/>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≥10次</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10次</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snapToGrid w:val="0"/>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bottom"/>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社会效益指标</w:t>
            </w:r>
          </w:p>
        </w:tc>
        <w:tc>
          <w:tcPr>
            <w:tcW w:w="2636" w:type="dxa"/>
            <w:gridSpan w:val="3"/>
            <w:vAlign w:val="bottom"/>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培育法治土壤，创造法治环境</w:t>
            </w:r>
          </w:p>
        </w:tc>
        <w:tc>
          <w:tcPr>
            <w:tcW w:w="1466" w:type="dxa"/>
            <w:vAlign w:val="bottom"/>
          </w:tcPr>
          <w:p>
            <w:pPr>
              <w:keepNext w:val="0"/>
              <w:keepLines w:val="0"/>
              <w:widowControl/>
              <w:suppressLineNumbers w:val="0"/>
              <w:jc w:val="center"/>
              <w:textAlignment w:val="bottom"/>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≥5次</w:t>
            </w:r>
          </w:p>
        </w:tc>
        <w:tc>
          <w:tcPr>
            <w:tcW w:w="1319" w:type="dxa"/>
            <w:gridSpan w:val="2"/>
            <w:vAlign w:val="center"/>
          </w:tcPr>
          <w:p>
            <w:pPr>
              <w:bidi w:val="0"/>
              <w:ind w:firstLine="420" w:firstLineChars="200"/>
              <w:jc w:val="left"/>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5次</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snapToGrid w:val="0"/>
              <w:jc w:val="center"/>
              <w:rPr>
                <w:rFonts w:hint="eastAsia" w:ascii="仿宋" w:hAnsi="仿宋" w:eastAsia="仿宋" w:cs="仿宋"/>
                <w:kern w:val="0"/>
                <w:sz w:val="21"/>
                <w:szCs w:val="21"/>
              </w:rPr>
            </w:pPr>
          </w:p>
        </w:tc>
        <w:tc>
          <w:tcPr>
            <w:tcW w:w="700" w:type="dxa"/>
            <w:vMerge w:val="continue"/>
            <w:vAlign w:val="center"/>
          </w:tcPr>
          <w:p>
            <w:pPr>
              <w:widowControl/>
              <w:snapToGrid w:val="0"/>
              <w:jc w:val="center"/>
              <w:rPr>
                <w:rFonts w:hint="eastAsia" w:ascii="仿宋" w:hAnsi="仿宋" w:eastAsia="仿宋" w:cs="仿宋"/>
                <w:kern w:val="0"/>
                <w:sz w:val="21"/>
                <w:szCs w:val="21"/>
              </w:rPr>
            </w:pPr>
          </w:p>
        </w:tc>
        <w:tc>
          <w:tcPr>
            <w:tcW w:w="1122" w:type="dxa"/>
            <w:vAlign w:val="bottom"/>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生态效益指标</w:t>
            </w:r>
          </w:p>
        </w:tc>
        <w:tc>
          <w:tcPr>
            <w:tcW w:w="2636" w:type="dxa"/>
            <w:gridSpan w:val="3"/>
            <w:vAlign w:val="bottom"/>
          </w:tcPr>
          <w:p>
            <w:pPr>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项目绩效指标表</w:t>
            </w:r>
          </w:p>
        </w:tc>
        <w:tc>
          <w:tcPr>
            <w:tcW w:w="1466" w:type="dxa"/>
            <w:vAlign w:val="bottom"/>
          </w:tcPr>
          <w:p>
            <w:pPr>
              <w:keepNext w:val="0"/>
              <w:keepLines w:val="0"/>
              <w:widowControl/>
              <w:suppressLineNumbers w:val="0"/>
              <w:jc w:val="center"/>
              <w:textAlignment w:val="bottom"/>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≥2次</w:t>
            </w:r>
          </w:p>
        </w:tc>
        <w:tc>
          <w:tcPr>
            <w:tcW w:w="1319" w:type="dxa"/>
            <w:gridSpan w:val="2"/>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2次</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8" w:type="dxa"/>
            <w:vMerge w:val="continue"/>
            <w:vAlign w:val="center"/>
          </w:tcPr>
          <w:p>
            <w:pPr>
              <w:widowControl/>
              <w:snapToGrid w:val="0"/>
              <w:jc w:val="center"/>
              <w:rPr>
                <w:rFonts w:hint="eastAsia" w:ascii="仿宋" w:hAnsi="仿宋" w:eastAsia="仿宋" w:cs="仿宋"/>
                <w:kern w:val="0"/>
                <w:sz w:val="21"/>
                <w:szCs w:val="21"/>
              </w:rPr>
            </w:pPr>
          </w:p>
        </w:tc>
        <w:tc>
          <w:tcPr>
            <w:tcW w:w="700"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rPr>
              <w:t>满意度指标</w:t>
            </w:r>
          </w:p>
        </w:tc>
        <w:tc>
          <w:tcPr>
            <w:tcW w:w="1122" w:type="dxa"/>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服务对象</w:t>
            </w:r>
            <w:r>
              <w:rPr>
                <w:rFonts w:hint="eastAsia" w:ascii="仿宋" w:hAnsi="仿宋" w:eastAsia="仿宋" w:cs="仿宋"/>
                <w:kern w:val="0"/>
                <w:sz w:val="21"/>
                <w:szCs w:val="21"/>
                <w:lang w:val="en-US" w:eastAsia="zh-CN"/>
              </w:rPr>
              <w:br w:type="textWrapping"/>
            </w:r>
            <w:r>
              <w:rPr>
                <w:rFonts w:hint="eastAsia" w:ascii="仿宋" w:hAnsi="仿宋" w:eastAsia="仿宋" w:cs="仿宋"/>
                <w:kern w:val="0"/>
                <w:sz w:val="21"/>
                <w:szCs w:val="21"/>
                <w:lang w:val="en-US" w:eastAsia="zh-CN"/>
              </w:rPr>
              <w:t>满意度指标</w:t>
            </w:r>
          </w:p>
        </w:tc>
        <w:tc>
          <w:tcPr>
            <w:tcW w:w="2636" w:type="dxa"/>
            <w:gridSpan w:val="3"/>
            <w:vAlign w:val="center"/>
          </w:tcPr>
          <w:p>
            <w:pPr>
              <w:widowControl/>
              <w:snapToGrid w:val="0"/>
              <w:jc w:val="center"/>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满足群众法律需求，帮助化解社会矛盾，维护社会稳定</w:t>
            </w:r>
          </w:p>
        </w:tc>
        <w:tc>
          <w:tcPr>
            <w:tcW w:w="1466" w:type="dxa"/>
            <w:vAlign w:val="center"/>
          </w:tcPr>
          <w:p>
            <w:pPr>
              <w:widowControl/>
              <w:snapToGrid w:val="0"/>
              <w:jc w:val="both"/>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建立服务平台，开展法律咨询、法律援助、矛盾调解等工作，不少于10次</w:t>
            </w:r>
          </w:p>
        </w:tc>
        <w:tc>
          <w:tcPr>
            <w:tcW w:w="1319" w:type="dxa"/>
            <w:gridSpan w:val="2"/>
            <w:vAlign w:val="center"/>
          </w:tcPr>
          <w:p>
            <w:pPr>
              <w:widowControl/>
              <w:snapToGrid w:val="0"/>
              <w:jc w:val="center"/>
              <w:rPr>
                <w:rFonts w:hint="eastAsia" w:ascii="仿宋" w:hAnsi="仿宋" w:eastAsia="仿宋" w:cs="仿宋"/>
                <w:kern w:val="0"/>
                <w:sz w:val="21"/>
                <w:szCs w:val="21"/>
                <w:lang w:val="en-US"/>
              </w:rPr>
            </w:pPr>
            <w:r>
              <w:rPr>
                <w:rFonts w:hint="eastAsia" w:ascii="仿宋" w:hAnsi="仿宋" w:eastAsia="仿宋" w:cs="仿宋"/>
                <w:kern w:val="0"/>
                <w:sz w:val="21"/>
                <w:szCs w:val="21"/>
                <w:lang w:val="en-US" w:eastAsia="zh-CN"/>
              </w:rPr>
              <w:t>10次</w:t>
            </w:r>
          </w:p>
        </w:tc>
        <w:tc>
          <w:tcPr>
            <w:tcW w:w="877" w:type="dxa"/>
            <w:vAlign w:val="center"/>
          </w:tcPr>
          <w:p>
            <w:pPr>
              <w:widowControl/>
              <w:snapToGrid w:val="0"/>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jc w:val="center"/>
        </w:trPr>
        <w:tc>
          <w:tcPr>
            <w:tcW w:w="82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总分</w:t>
            </w:r>
          </w:p>
        </w:tc>
        <w:tc>
          <w:tcPr>
            <w:tcW w:w="8120" w:type="dxa"/>
            <w:gridSpan w:val="9"/>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sz w:val="28"/>
                <w:szCs w:val="28"/>
                <w:lang w:val="en-US" w:eastAsia="zh-CN"/>
              </w:rPr>
              <w:t>92分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5" w:hRule="atLeast"/>
          <w:jc w:val="center"/>
        </w:trPr>
        <w:tc>
          <w:tcPr>
            <w:tcW w:w="1528"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偏差大或</w:t>
            </w:r>
          </w:p>
          <w:p>
            <w:pPr>
              <w:widowControl/>
              <w:jc w:val="center"/>
              <w:rPr>
                <w:rFonts w:ascii="仿宋_GB2312" w:hAnsi="宋体" w:eastAsia="仿宋_GB2312" w:cs="Times New Roman"/>
                <w:kern w:val="0"/>
              </w:rPr>
            </w:pPr>
            <w:r>
              <w:rPr>
                <w:rFonts w:hint="eastAsia" w:ascii="仿宋_GB2312" w:hAnsi="宋体" w:eastAsia="仿宋_GB2312" w:cs="仿宋_GB2312"/>
                <w:kern w:val="0"/>
              </w:rPr>
              <w:t>目标未完成</w:t>
            </w:r>
          </w:p>
          <w:p>
            <w:pPr>
              <w:widowControl/>
              <w:jc w:val="center"/>
              <w:rPr>
                <w:rFonts w:ascii="仿宋_GB2312" w:hAnsi="宋体" w:eastAsia="仿宋_GB2312" w:cs="Times New Roman"/>
                <w:kern w:val="0"/>
              </w:rPr>
            </w:pPr>
            <w:r>
              <w:rPr>
                <w:rFonts w:hint="eastAsia" w:ascii="仿宋_GB2312" w:hAnsi="宋体" w:eastAsia="仿宋_GB2312" w:cs="仿宋_GB2312"/>
                <w:kern w:val="0"/>
              </w:rPr>
              <w:t>原因分析</w:t>
            </w:r>
          </w:p>
        </w:tc>
        <w:tc>
          <w:tcPr>
            <w:tcW w:w="7420" w:type="dxa"/>
            <w:gridSpan w:val="8"/>
            <w:vAlign w:val="center"/>
          </w:tcPr>
          <w:p>
            <w:pPr>
              <w:ind w:firstLine="600" w:firstLineChars="200"/>
              <w:rPr>
                <w:rFonts w:hint="eastAsia" w:ascii="仿宋" w:hAnsi="仿宋" w:eastAsia="仿宋" w:cs="仿宋"/>
                <w:sz w:val="30"/>
                <w:szCs w:val="30"/>
              </w:rPr>
            </w:pPr>
            <w:r>
              <w:rPr>
                <w:rFonts w:hint="eastAsia" w:ascii="仿宋" w:hAnsi="仿宋" w:eastAsia="仿宋" w:cs="仿宋"/>
                <w:sz w:val="30"/>
                <w:szCs w:val="30"/>
              </w:rPr>
              <w:t>在目标绩效管理工作中，对绩效管理有一定的了解，但没有进行系统的绩效管理学习。在绩效目标设置、绩效目标监控、绩效目标评价结果应用等方面还存在不足，缺乏系统性、整体性的考量。</w:t>
            </w:r>
          </w:p>
          <w:p>
            <w:pPr>
              <w:widowControl/>
              <w:jc w:val="left"/>
              <w:rPr>
                <w:rFonts w:ascii="仿宋_GB2312"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7" w:hRule="atLeast"/>
          <w:jc w:val="center"/>
        </w:trPr>
        <w:tc>
          <w:tcPr>
            <w:tcW w:w="1528"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改进措施及</w:t>
            </w:r>
          </w:p>
          <w:p>
            <w:pPr>
              <w:widowControl/>
              <w:jc w:val="center"/>
              <w:rPr>
                <w:rFonts w:ascii="仿宋_GB2312" w:hAnsi="宋体" w:eastAsia="仿宋_GB2312" w:cs="Times New Roman"/>
                <w:kern w:val="0"/>
              </w:rPr>
            </w:pPr>
            <w:r>
              <w:rPr>
                <w:rFonts w:hint="eastAsia" w:ascii="仿宋_GB2312" w:hAnsi="宋体" w:eastAsia="仿宋_GB2312" w:cs="仿宋_GB2312"/>
                <w:kern w:val="0"/>
              </w:rPr>
              <w:t>结果应用方案</w:t>
            </w:r>
          </w:p>
        </w:tc>
        <w:tc>
          <w:tcPr>
            <w:tcW w:w="7420" w:type="dxa"/>
            <w:gridSpan w:val="8"/>
            <w:vAlign w:val="center"/>
          </w:tcPr>
          <w:p>
            <w:pPr>
              <w:pStyle w:val="2"/>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00" w:firstLineChars="200"/>
              <w:jc w:val="left"/>
              <w:textAlignment w:val="auto"/>
              <w:rPr>
                <w:rFonts w:hint="eastAsia" w:ascii="仿宋" w:hAnsi="仿宋" w:eastAsia="仿宋" w:cs="仿宋"/>
                <w:kern w:val="2"/>
                <w:sz w:val="30"/>
                <w:szCs w:val="30"/>
                <w:lang w:val="en-US" w:eastAsia="zh-CN" w:bidi="ar-SA"/>
              </w:rPr>
            </w:pPr>
            <w:r>
              <w:rPr>
                <w:rFonts w:hint="eastAsia" w:ascii="仿宋" w:hAnsi="仿宋" w:eastAsia="仿宋" w:cs="仿宋"/>
                <w:sz w:val="30"/>
                <w:szCs w:val="30"/>
                <w:lang w:val="en-US" w:eastAsia="zh-CN"/>
              </w:rPr>
              <w:t>1.</w:t>
            </w:r>
            <w:r>
              <w:rPr>
                <w:rFonts w:hint="eastAsia" w:ascii="仿宋" w:hAnsi="仿宋" w:eastAsia="仿宋" w:cs="仿宋"/>
                <w:sz w:val="30"/>
                <w:szCs w:val="30"/>
              </w:rPr>
              <w:t>建章立制，强化监督，狠抓规范，重视财务管理。财</w:t>
            </w:r>
            <w:r>
              <w:rPr>
                <w:rFonts w:hint="eastAsia" w:ascii="仿宋" w:hAnsi="仿宋" w:eastAsia="仿宋" w:cs="仿宋"/>
                <w:kern w:val="2"/>
                <w:sz w:val="30"/>
                <w:szCs w:val="30"/>
                <w:lang w:val="en-US" w:eastAsia="zh-CN" w:bidi="ar-SA"/>
              </w:rPr>
              <w:t>务管理是资金管理的核心，严格实行了专款专用、国库集中支付。一是健全用款程序，细化财务支出。建立和完善项目资金申请审批程序，严格按照预算下达资金控制其他费用支出，以实现项目管理精细化要求。二是强化监管同步，把好支出关口。</w:t>
            </w:r>
          </w:p>
          <w:p>
            <w:pPr>
              <w:pStyle w:val="2"/>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00" w:firstLineChars="200"/>
              <w:jc w:val="left"/>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2.向上级部门或系统内其他单位学习借鉴指标设置经验，根据实际情况合理设置绩效目标；</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00" w:firstLineChars="200"/>
              <w:jc w:val="left"/>
              <w:textAlignment w:val="auto"/>
              <w:rPr>
                <w:rFonts w:ascii="仿宋_GB2312" w:hAnsi="宋体" w:eastAsia="仿宋_GB2312" w:cs="Times New Roman"/>
                <w:kern w:val="0"/>
              </w:rPr>
            </w:pPr>
            <w:r>
              <w:rPr>
                <w:rFonts w:hint="eastAsia" w:ascii="仿宋" w:hAnsi="仿宋" w:eastAsia="仿宋" w:cs="仿宋"/>
                <w:kern w:val="2"/>
                <w:sz w:val="30"/>
                <w:szCs w:val="30"/>
                <w:lang w:val="en-US" w:eastAsia="zh-CN" w:bidi="ar-SA"/>
              </w:rPr>
              <w:t>3.对绩效目标评价结果为优或者良的项目继续保留安排下年度预算，对于评价结果未能达到优或者良的项目将重新审核考量，并减少预算安排。</w:t>
            </w:r>
          </w:p>
        </w:tc>
      </w:tr>
    </w:tbl>
    <w:p>
      <w:pPr>
        <w:widowControl/>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备注：</w:t>
      </w:r>
    </w:p>
    <w:p>
      <w:pPr>
        <w:widowControl/>
        <w:ind w:firstLine="400" w:firstLineChars="200"/>
        <w:rPr>
          <w:rFonts w:ascii="仿宋_GB2312" w:hAnsi="宋体" w:eastAsia="仿宋_GB2312" w:cs="Times New Roman"/>
          <w:kern w:val="0"/>
          <w:sz w:val="20"/>
          <w:szCs w:val="20"/>
        </w:rPr>
      </w:pPr>
      <w:r>
        <w:rPr>
          <w:rFonts w:ascii="仿宋_GB2312" w:hAnsi="宋体" w:eastAsia="仿宋_GB2312" w:cs="仿宋_GB2312"/>
          <w:kern w:val="0"/>
          <w:sz w:val="20"/>
          <w:szCs w:val="20"/>
        </w:rPr>
        <w:t>1.</w:t>
      </w:r>
      <w:r>
        <w:rPr>
          <w:rFonts w:hint="eastAsia" w:ascii="仿宋_GB2312" w:hAnsi="宋体" w:eastAsia="仿宋_GB2312" w:cs="仿宋_GB2312"/>
          <w:kern w:val="0"/>
          <w:sz w:val="20"/>
          <w:szCs w:val="20"/>
        </w:rPr>
        <w:t>预算执行情况口径：预算数为调整后财政资金总额（包括上年结余结转），执行数为资金使用单位财政资金实际支出数。</w:t>
      </w:r>
    </w:p>
    <w:p>
      <w:pPr>
        <w:widowControl/>
        <w:ind w:firstLine="400" w:firstLineChars="200"/>
        <w:rPr>
          <w:rFonts w:ascii="仿宋_GB2312" w:hAnsi="宋体" w:eastAsia="仿宋_GB2312" w:cs="Times New Roman"/>
          <w:kern w:val="0"/>
          <w:sz w:val="20"/>
          <w:szCs w:val="20"/>
        </w:rPr>
      </w:pPr>
      <w:r>
        <w:rPr>
          <w:rFonts w:ascii="仿宋_GB2312" w:hAnsi="宋体" w:eastAsia="仿宋_GB2312" w:cs="仿宋_GB2312"/>
          <w:kern w:val="0"/>
          <w:sz w:val="20"/>
          <w:szCs w:val="20"/>
        </w:rPr>
        <w:t>2.</w:t>
      </w:r>
      <w:r>
        <w:rPr>
          <w:rFonts w:hint="eastAsia" w:ascii="仿宋_GB2312" w:hAnsi="宋体" w:eastAsia="仿宋_GB2312" w:cs="仿宋_GB2312"/>
          <w:kern w:val="0"/>
          <w:sz w:val="20"/>
          <w:szCs w:val="20"/>
        </w:rPr>
        <w:t>定量指标完成数汇总原则：绝对值直接累加计算，相对值按照资金额度加权平均计算。定量指标计分原则：正向指标（即目标值为≥</w:t>
      </w:r>
      <w:r>
        <w:rPr>
          <w:rFonts w:ascii="仿宋_GB2312" w:hAnsi="宋体" w:eastAsia="仿宋_GB2312" w:cs="仿宋_GB2312"/>
          <w:kern w:val="0"/>
          <w:sz w:val="20"/>
          <w:szCs w:val="20"/>
        </w:rPr>
        <w:t>X,</w:t>
      </w:r>
      <w:r>
        <w:rPr>
          <w:rFonts w:hint="eastAsia" w:ascii="仿宋_GB2312" w:hAnsi="宋体" w:eastAsia="仿宋_GB2312" w:cs="仿宋_GB2312"/>
          <w:kern w:val="0"/>
          <w:sz w:val="20"/>
          <w:szCs w:val="20"/>
        </w:rPr>
        <w:t>得分</w:t>
      </w:r>
      <w:r>
        <w:rPr>
          <w:rFonts w:ascii="仿宋_GB2312" w:hAnsi="宋体" w:eastAsia="仿宋_GB2312" w:cs="仿宋_GB2312"/>
          <w:kern w:val="0"/>
          <w:sz w:val="20"/>
          <w:szCs w:val="20"/>
        </w:rPr>
        <w:t>=</w:t>
      </w:r>
      <w:r>
        <w:rPr>
          <w:rFonts w:hint="eastAsia" w:ascii="仿宋_GB2312" w:hAnsi="宋体" w:eastAsia="仿宋_GB2312" w:cs="仿宋_GB2312"/>
          <w:kern w:val="0"/>
          <w:sz w:val="20"/>
          <w:szCs w:val="20"/>
        </w:rPr>
        <w:t>权重</w:t>
      </w:r>
      <w:r>
        <w:rPr>
          <w:rFonts w:ascii="仿宋_GB2312" w:hAnsi="宋体" w:eastAsia="仿宋_GB2312" w:cs="仿宋_GB2312"/>
          <w:kern w:val="0"/>
          <w:sz w:val="20"/>
          <w:szCs w:val="20"/>
        </w:rPr>
        <w:t>*B/A</w:t>
      </w:r>
      <w:r>
        <w:rPr>
          <w:rFonts w:hint="eastAsia" w:ascii="仿宋_GB2312" w:hAnsi="宋体" w:eastAsia="仿宋_GB2312" w:cs="仿宋_GB2312"/>
          <w:kern w:val="0"/>
          <w:sz w:val="20"/>
          <w:szCs w:val="20"/>
        </w:rPr>
        <w:t>），反向指标（即目标值为≤</w:t>
      </w:r>
      <w:r>
        <w:rPr>
          <w:rFonts w:ascii="仿宋_GB2312" w:hAnsi="宋体" w:eastAsia="仿宋_GB2312" w:cs="仿宋_GB2312"/>
          <w:kern w:val="0"/>
          <w:sz w:val="20"/>
          <w:szCs w:val="20"/>
        </w:rPr>
        <w:t>X</w:t>
      </w:r>
      <w:r>
        <w:rPr>
          <w:rFonts w:hint="eastAsia" w:ascii="仿宋_GB2312" w:hAnsi="宋体" w:eastAsia="仿宋_GB2312" w:cs="仿宋_GB2312"/>
          <w:kern w:val="0"/>
          <w:sz w:val="20"/>
          <w:szCs w:val="20"/>
        </w:rPr>
        <w:t>，得分</w:t>
      </w:r>
      <w:r>
        <w:rPr>
          <w:rFonts w:ascii="仿宋_GB2312" w:hAnsi="宋体" w:eastAsia="仿宋_GB2312" w:cs="仿宋_GB2312"/>
          <w:kern w:val="0"/>
          <w:sz w:val="20"/>
          <w:szCs w:val="20"/>
        </w:rPr>
        <w:t>=</w:t>
      </w:r>
      <w:r>
        <w:rPr>
          <w:rFonts w:hint="eastAsia" w:ascii="仿宋_GB2312" w:hAnsi="宋体" w:eastAsia="仿宋_GB2312" w:cs="仿宋_GB2312"/>
          <w:kern w:val="0"/>
          <w:sz w:val="20"/>
          <w:szCs w:val="20"/>
        </w:rPr>
        <w:t>权重</w:t>
      </w:r>
      <w:r>
        <w:rPr>
          <w:rFonts w:ascii="仿宋_GB2312" w:hAnsi="宋体" w:eastAsia="仿宋_GB2312" w:cs="仿宋_GB2312"/>
          <w:kern w:val="0"/>
          <w:sz w:val="20"/>
          <w:szCs w:val="20"/>
        </w:rPr>
        <w:t>*A/B）</w:t>
      </w:r>
      <w:r>
        <w:rPr>
          <w:rFonts w:hint="eastAsia" w:ascii="仿宋_GB2312" w:hAnsi="宋体" w:eastAsia="仿宋_GB2312" w:cs="仿宋_GB2312"/>
          <w:kern w:val="0"/>
          <w:sz w:val="20"/>
          <w:szCs w:val="20"/>
        </w:rPr>
        <w:t>，得分不得突破权重总额。定量指标先汇总完成数，再计算得分。</w:t>
      </w:r>
    </w:p>
    <w:p>
      <w:pPr>
        <w:widowControl/>
        <w:ind w:firstLine="400" w:firstLineChars="200"/>
        <w:rPr>
          <w:rFonts w:ascii="仿宋_GB2312" w:hAnsi="宋体" w:eastAsia="仿宋_GB2312" w:cs="Times New Roman"/>
          <w:kern w:val="0"/>
          <w:sz w:val="20"/>
          <w:szCs w:val="20"/>
        </w:rPr>
      </w:pPr>
      <w:r>
        <w:rPr>
          <w:rFonts w:ascii="仿宋_GB2312" w:hAnsi="宋体" w:eastAsia="仿宋_GB2312" w:cs="仿宋_GB2312"/>
          <w:kern w:val="0"/>
          <w:sz w:val="20"/>
          <w:szCs w:val="20"/>
        </w:rPr>
        <w:t>3.</w:t>
      </w:r>
      <w:r>
        <w:rPr>
          <w:rFonts w:hint="eastAsia" w:ascii="仿宋_GB2312" w:hAnsi="宋体" w:eastAsia="仿宋_GB2312" w:cs="仿宋_GB2312"/>
          <w:kern w:val="0"/>
          <w:sz w:val="20"/>
          <w:szCs w:val="20"/>
        </w:rPr>
        <w:t>定性指标计分原则：达成预期指标、部分达成预期指标并具有一定效果、未达成预期指标且效果较差三档，分别按照该指标对应分值区间</w:t>
      </w:r>
      <w:r>
        <w:rPr>
          <w:rFonts w:ascii="仿宋_GB2312" w:hAnsi="宋体" w:eastAsia="仿宋_GB2312" w:cs="仿宋_GB2312"/>
          <w:kern w:val="0"/>
          <w:sz w:val="20"/>
          <w:szCs w:val="20"/>
        </w:rPr>
        <w:t>100-80%</w:t>
      </w:r>
      <w:r>
        <w:rPr>
          <w:rFonts w:hint="eastAsia" w:ascii="仿宋_GB2312" w:hAnsi="宋体" w:eastAsia="仿宋_GB2312" w:cs="仿宋_GB2312"/>
          <w:kern w:val="0"/>
          <w:sz w:val="20"/>
          <w:szCs w:val="20"/>
        </w:rPr>
        <w:t>（含</w:t>
      </w:r>
      <w:r>
        <w:rPr>
          <w:rFonts w:ascii="仿宋_GB2312" w:hAnsi="宋体" w:eastAsia="仿宋_GB2312" w:cs="仿宋_GB2312"/>
          <w:kern w:val="0"/>
          <w:sz w:val="20"/>
          <w:szCs w:val="20"/>
        </w:rPr>
        <w:t>80%</w:t>
      </w:r>
      <w:r>
        <w:rPr>
          <w:rFonts w:hint="eastAsia" w:ascii="仿宋_GB2312" w:hAnsi="宋体" w:eastAsia="仿宋_GB2312" w:cs="仿宋_GB2312"/>
          <w:kern w:val="0"/>
          <w:sz w:val="20"/>
          <w:szCs w:val="20"/>
        </w:rPr>
        <w:t>）、</w:t>
      </w:r>
      <w:r>
        <w:rPr>
          <w:rFonts w:ascii="仿宋_GB2312" w:hAnsi="宋体" w:eastAsia="仿宋_GB2312" w:cs="仿宋_GB2312"/>
          <w:kern w:val="0"/>
          <w:sz w:val="20"/>
          <w:szCs w:val="20"/>
        </w:rPr>
        <w:t>80-50%</w:t>
      </w:r>
      <w:r>
        <w:rPr>
          <w:rFonts w:hint="eastAsia" w:ascii="仿宋_GB2312" w:hAnsi="宋体" w:eastAsia="仿宋_GB2312" w:cs="仿宋_GB2312"/>
          <w:kern w:val="0"/>
          <w:sz w:val="20"/>
          <w:szCs w:val="20"/>
        </w:rPr>
        <w:t>（含</w:t>
      </w:r>
      <w:r>
        <w:rPr>
          <w:rFonts w:ascii="仿宋_GB2312" w:hAnsi="宋体" w:eastAsia="仿宋_GB2312" w:cs="仿宋_GB2312"/>
          <w:kern w:val="0"/>
          <w:sz w:val="20"/>
          <w:szCs w:val="20"/>
        </w:rPr>
        <w:t>50%</w:t>
      </w:r>
      <w:r>
        <w:rPr>
          <w:rFonts w:hint="eastAsia" w:ascii="仿宋_GB2312" w:hAnsi="宋体" w:eastAsia="仿宋_GB2312" w:cs="仿宋_GB2312"/>
          <w:kern w:val="0"/>
          <w:sz w:val="20"/>
          <w:szCs w:val="20"/>
        </w:rPr>
        <w:t>）、</w:t>
      </w:r>
      <w:r>
        <w:rPr>
          <w:rFonts w:ascii="仿宋_GB2312" w:hAnsi="宋体" w:eastAsia="仿宋_GB2312" w:cs="仿宋_GB2312"/>
          <w:kern w:val="0"/>
          <w:sz w:val="20"/>
          <w:szCs w:val="20"/>
        </w:rPr>
        <w:t>50-0%</w:t>
      </w:r>
      <w:r>
        <w:rPr>
          <w:rFonts w:hint="eastAsia" w:ascii="仿宋_GB2312" w:hAnsi="宋体" w:eastAsia="仿宋_GB2312" w:cs="仿宋_GB2312"/>
          <w:kern w:val="0"/>
          <w:sz w:val="20"/>
          <w:szCs w:val="20"/>
        </w:rPr>
        <w:t>合理确定分值。汇总时，以资金额度为权重，对分值进行加权平均计算。</w:t>
      </w:r>
    </w:p>
    <w:p>
      <w:pPr>
        <w:widowControl/>
        <w:ind w:firstLine="400" w:firstLineChars="200"/>
        <w:rPr>
          <w:rFonts w:hint="eastAsia" w:ascii="仿宋_GB2312" w:hAnsi="宋体" w:eastAsia="仿宋_GB2312" w:cs="仿宋_GB2312"/>
          <w:kern w:val="0"/>
          <w:sz w:val="20"/>
          <w:szCs w:val="20"/>
        </w:rPr>
        <w:sectPr>
          <w:footerReference r:id="rId5" w:type="default"/>
          <w:footerReference r:id="rId6" w:type="even"/>
          <w:pgSz w:w="11906" w:h="16838"/>
          <w:pgMar w:top="1985" w:right="1588" w:bottom="1814" w:left="1588" w:header="851" w:footer="1247" w:gutter="0"/>
          <w:pgNumType w:fmt="decimal"/>
          <w:cols w:space="720" w:num="1"/>
          <w:docGrid w:type="lines" w:linePitch="312" w:charSpace="0"/>
        </w:sectPr>
      </w:pPr>
      <w:r>
        <w:rPr>
          <w:rFonts w:ascii="仿宋_GB2312" w:hAnsi="宋体" w:eastAsia="仿宋_GB2312" w:cs="仿宋_GB2312"/>
          <w:kern w:val="0"/>
          <w:sz w:val="20"/>
          <w:szCs w:val="20"/>
        </w:rPr>
        <w:t>4.</w:t>
      </w:r>
      <w:r>
        <w:rPr>
          <w:rFonts w:hint="eastAsia" w:ascii="仿宋_GB2312" w:hAnsi="宋体" w:eastAsia="仿宋_GB2312" w:cs="仿宋_GB2312"/>
          <w:kern w:val="0"/>
          <w:sz w:val="20"/>
          <w:szCs w:val="20"/>
        </w:rPr>
        <w:t>基于经济性和必要性等因素考虑，满意度指标暂可不作为必评指标。</w:t>
      </w:r>
    </w:p>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82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eastAsia" w:ascii="Times New Roman" w:hAnsi="Times New Roman"/>
        <w:sz w:val="24"/>
        <w:szCs w:val="22"/>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Times New Roman" w:hAnsi="Times New Roman"/>
        <w:sz w:val="24"/>
        <w:szCs w:val="22"/>
      </w:rPr>
    </w:pP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rPr>
      <w:t>1</w:t>
    </w:r>
    <w:r>
      <w:rPr>
        <w:rFonts w:ascii="Times New Roman" w:hAnsi="Times New Roman"/>
        <w:sz w:val="24"/>
      </w:rPr>
      <w:fldChar w:fldCharType="end"/>
    </w:r>
    <w:r>
      <w:rPr>
        <w:rFonts w:ascii="Times New Roman" w:hAnsi="Times New Roman"/>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eastAsia" w:ascii="Times New Roman" w:hAnsi="Times New Roman"/>
        <w:sz w:val="24"/>
        <w:szCs w:val="22"/>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sz w:val="24"/>
      </w:rPr>
      <w:id w:val="1192118955"/>
    </w:sdtPr>
    <w:sdtEndPr>
      <w:rPr>
        <w:rFonts w:ascii="Times New Roman" w:hAnsi="Times New Roman"/>
        <w:sz w:val="24"/>
      </w:rPr>
    </w:sdtEndPr>
    <w:sdtContent>
      <w:p>
        <w:pPr>
          <w:pStyle w:val="4"/>
          <w:rPr>
            <w:rFonts w:hint="eastAsia" w:ascii="Times New Roman" w:hAnsi="Times New Roman"/>
            <w:sz w:val="24"/>
            <w:szCs w:val="22"/>
          </w:rPr>
        </w:pP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rPr>
          <w:t>1</w:t>
        </w:r>
        <w:r>
          <w:rPr>
            <w:rFonts w:ascii="Times New Roman" w:hAnsi="Times New Roman"/>
            <w:sz w:val="24"/>
          </w:rPr>
          <w:fldChar w:fldCharType="end"/>
        </w:r>
        <w:r>
          <w:rPr>
            <w:rFonts w:ascii="Times New Roman" w:hAnsi="Times New Roman"/>
            <w:sz w:val="24"/>
          </w:rPr>
          <w:t xml:space="preserve"> —</w:t>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0D86F8"/>
    <w:multiLevelType w:val="singleLevel"/>
    <w:tmpl w:val="940D86F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4NDA4ZDc2NTliMTMyOGEzOTFiN2MyZGZjODhjNGQifQ=="/>
  </w:docVars>
  <w:rsids>
    <w:rsidRoot w:val="298F1008"/>
    <w:rsid w:val="007A1658"/>
    <w:rsid w:val="05C408D9"/>
    <w:rsid w:val="06781D91"/>
    <w:rsid w:val="07375BAD"/>
    <w:rsid w:val="0788465B"/>
    <w:rsid w:val="0D4E6BF9"/>
    <w:rsid w:val="0EC35F79"/>
    <w:rsid w:val="0ECC7523"/>
    <w:rsid w:val="0F340F85"/>
    <w:rsid w:val="100C7E79"/>
    <w:rsid w:val="13CD1A14"/>
    <w:rsid w:val="15671D54"/>
    <w:rsid w:val="16280F23"/>
    <w:rsid w:val="18C82474"/>
    <w:rsid w:val="19E67984"/>
    <w:rsid w:val="1A156242"/>
    <w:rsid w:val="1A9F5AEC"/>
    <w:rsid w:val="1D6F3E9B"/>
    <w:rsid w:val="1DB93368"/>
    <w:rsid w:val="27394747"/>
    <w:rsid w:val="28A23977"/>
    <w:rsid w:val="28E456E7"/>
    <w:rsid w:val="298F1008"/>
    <w:rsid w:val="2D92328E"/>
    <w:rsid w:val="2DA476E4"/>
    <w:rsid w:val="2E02451F"/>
    <w:rsid w:val="2FB66570"/>
    <w:rsid w:val="30DD0CC4"/>
    <w:rsid w:val="320261C4"/>
    <w:rsid w:val="33B876FE"/>
    <w:rsid w:val="36EC7A95"/>
    <w:rsid w:val="375F68D7"/>
    <w:rsid w:val="38455AEA"/>
    <w:rsid w:val="3B366613"/>
    <w:rsid w:val="3BDF7A39"/>
    <w:rsid w:val="3CD115F4"/>
    <w:rsid w:val="3E304B29"/>
    <w:rsid w:val="3E353EED"/>
    <w:rsid w:val="3F536D21"/>
    <w:rsid w:val="41BD4926"/>
    <w:rsid w:val="424A48D9"/>
    <w:rsid w:val="42B871B3"/>
    <w:rsid w:val="432D3076"/>
    <w:rsid w:val="45B7128B"/>
    <w:rsid w:val="46CB7749"/>
    <w:rsid w:val="4FC82E13"/>
    <w:rsid w:val="519E437A"/>
    <w:rsid w:val="530C57B4"/>
    <w:rsid w:val="607E47F1"/>
    <w:rsid w:val="637864A7"/>
    <w:rsid w:val="64AD03D2"/>
    <w:rsid w:val="64D94D23"/>
    <w:rsid w:val="659D1397"/>
    <w:rsid w:val="65CB2D34"/>
    <w:rsid w:val="693079CF"/>
    <w:rsid w:val="69520EE0"/>
    <w:rsid w:val="69872FA0"/>
    <w:rsid w:val="70D43AF5"/>
    <w:rsid w:val="74032AB6"/>
    <w:rsid w:val="74A66CBC"/>
    <w:rsid w:val="7A0E2E8E"/>
    <w:rsid w:val="7C723D8E"/>
    <w:rsid w:val="7CA659DB"/>
    <w:rsid w:val="7DDA3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beforeAutospacing="1" w:afterAutospacing="1"/>
      <w:ind w:firstLine="420" w:firstLineChars="200"/>
    </w:pPr>
    <w:rPr>
      <w:szCs w:val="21"/>
    </w:rPr>
  </w:style>
  <w:style w:type="paragraph" w:styleId="3">
    <w:name w:val="Body Text Indent"/>
    <w:basedOn w:val="1"/>
    <w:next w:val="2"/>
    <w:qFormat/>
    <w:uiPriority w:val="0"/>
    <w:pPr>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7880</Words>
  <Characters>8196</Characters>
  <Lines>0</Lines>
  <Paragraphs>0</Paragraphs>
  <TotalTime>7</TotalTime>
  <ScaleCrop>false</ScaleCrop>
  <LinksUpToDate>false</LinksUpToDate>
  <CharactersWithSpaces>8267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2023-04-21T08:24:00Z</dcterms:created>
  <dc:creator>活着的滋味</dc:creator>
  <cp:lastModifiedBy>Administrator</cp:lastModifiedBy>
  <dcterms:modified xsi:type="dcterms:W3CDTF">2023-06-19T08:44:20Z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6614C482D15A4AE4AEA84418C7A46501_13</vt:lpwstr>
  </property>
</Properties>
</file>