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黑体" w:hAnsi="黑体" w:eastAsia="黑体" w:cs="Times New Roman"/>
          <w:sz w:val="28"/>
          <w:szCs w:val="28"/>
        </w:rPr>
      </w:pPr>
    </w:p>
    <w:p>
      <w:pPr>
        <w:widowControl/>
        <w:jc w:val="center"/>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36"/>
          <w:szCs w:val="36"/>
        </w:rPr>
        <w:t>项目</w:t>
      </w:r>
      <w:r>
        <w:rPr>
          <w:rFonts w:hint="eastAsia" w:ascii="方正小标宋简体" w:hAnsi="Times New Roman" w:eastAsia="方正小标宋简体" w:cs="方正小标宋简体"/>
          <w:sz w:val="36"/>
          <w:szCs w:val="36"/>
          <w:lang w:eastAsia="zh-CN"/>
        </w:rPr>
        <w:t>绩效目标</w:t>
      </w:r>
      <w:r>
        <w:rPr>
          <w:rFonts w:hint="eastAsia" w:ascii="方正小标宋简体" w:hAnsi="Times New Roman" w:eastAsia="方正小标宋简体" w:cs="方正小标宋简体"/>
          <w:sz w:val="36"/>
          <w:szCs w:val="36"/>
        </w:rPr>
        <w:t>申报表</w:t>
      </w:r>
    </w:p>
    <w:tbl>
      <w:tblPr>
        <w:tblStyle w:val="2"/>
        <w:tblW w:w="8948" w:type="dxa"/>
        <w:tblInd w:w="0" w:type="dxa"/>
        <w:tblLayout w:type="fixed"/>
        <w:tblCellMar>
          <w:top w:w="0" w:type="dxa"/>
          <w:left w:w="108" w:type="dxa"/>
          <w:bottom w:w="0" w:type="dxa"/>
          <w:right w:w="108" w:type="dxa"/>
        </w:tblCellMar>
      </w:tblPr>
      <w:tblGrid>
        <w:gridCol w:w="1227"/>
        <w:gridCol w:w="407"/>
        <w:gridCol w:w="1093"/>
        <w:gridCol w:w="30"/>
        <w:gridCol w:w="1106"/>
        <w:gridCol w:w="6"/>
        <w:gridCol w:w="524"/>
        <w:gridCol w:w="271"/>
        <w:gridCol w:w="1070"/>
        <w:gridCol w:w="82"/>
        <w:gridCol w:w="1094"/>
        <w:gridCol w:w="334"/>
        <w:gridCol w:w="1704"/>
      </w:tblGrid>
      <w:tr>
        <w:tblPrEx>
          <w:tblCellMar>
            <w:top w:w="0" w:type="dxa"/>
            <w:left w:w="108" w:type="dxa"/>
            <w:bottom w:w="0" w:type="dxa"/>
            <w:right w:w="108" w:type="dxa"/>
          </w:tblCellMar>
        </w:tblPrEx>
        <w:trPr>
          <w:trHeight w:val="508" w:hRule="atLeast"/>
        </w:trPr>
        <w:tc>
          <w:tcPr>
            <w:tcW w:w="4393" w:type="dxa"/>
            <w:gridSpan w:val="7"/>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申报单位：</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中共鄂州市委政法委员会</w:t>
            </w:r>
          </w:p>
        </w:tc>
        <w:tc>
          <w:tcPr>
            <w:tcW w:w="271"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21"/>
                <w:szCs w:val="21"/>
              </w:rPr>
            </w:pPr>
          </w:p>
        </w:tc>
        <w:tc>
          <w:tcPr>
            <w:tcW w:w="1070"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p>
        </w:tc>
        <w:tc>
          <w:tcPr>
            <w:tcW w:w="3214" w:type="dxa"/>
            <w:gridSpan w:val="4"/>
            <w:tcBorders>
              <w:top w:val="nil"/>
              <w:left w:val="nil"/>
              <w:bottom w:val="single" w:color="auto" w:sz="4" w:space="0"/>
              <w:right w:val="nil"/>
            </w:tcBorders>
            <w:shd w:val="clear" w:color="auto" w:fill="auto"/>
            <w:noWrap/>
            <w:vAlign w:val="center"/>
          </w:tcPr>
          <w:p>
            <w:pPr>
              <w:widowControl/>
              <w:spacing w:line="240" w:lineRule="exact"/>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金额单位：万元</w:t>
            </w:r>
          </w:p>
        </w:tc>
      </w:tr>
      <w:tr>
        <w:tblPrEx>
          <w:tblCellMar>
            <w:top w:w="0" w:type="dxa"/>
            <w:left w:w="108" w:type="dxa"/>
            <w:bottom w:w="0" w:type="dxa"/>
            <w:right w:w="108" w:type="dxa"/>
          </w:tblCellMar>
        </w:tblPrEx>
        <w:trPr>
          <w:trHeight w:val="487" w:hRule="atLeast"/>
        </w:trPr>
        <w:tc>
          <w:tcPr>
            <w:tcW w:w="12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项目名称</w:t>
            </w:r>
          </w:p>
        </w:tc>
        <w:tc>
          <w:tcPr>
            <w:tcW w:w="1530"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bookmarkStart w:id="0" w:name="_GoBack"/>
            <w:r>
              <w:rPr>
                <w:rFonts w:hint="eastAsia" w:ascii="仿宋_GB2312" w:hAnsi="仿宋_GB2312" w:eastAsia="仿宋_GB2312" w:cs="仿宋_GB2312"/>
                <w:color w:val="auto"/>
                <w:kern w:val="0"/>
                <w:sz w:val="21"/>
                <w:szCs w:val="21"/>
              </w:rPr>
              <w:t>市政法智能化建设专项经费</w:t>
            </w:r>
            <w:bookmarkEnd w:id="0"/>
          </w:p>
        </w:tc>
        <w:tc>
          <w:tcPr>
            <w:tcW w:w="111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项目类别</w:t>
            </w:r>
          </w:p>
        </w:tc>
        <w:tc>
          <w:tcPr>
            <w:tcW w:w="1865"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本级支出项目</w:t>
            </w:r>
          </w:p>
        </w:tc>
        <w:tc>
          <w:tcPr>
            <w:tcW w:w="1510"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项目性质</w:t>
            </w:r>
          </w:p>
        </w:tc>
        <w:tc>
          <w:tcPr>
            <w:tcW w:w="170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持续性项目</w:t>
            </w:r>
          </w:p>
        </w:tc>
      </w:tr>
      <w:tr>
        <w:tblPrEx>
          <w:tblCellMar>
            <w:top w:w="0" w:type="dxa"/>
            <w:left w:w="108" w:type="dxa"/>
            <w:bottom w:w="0" w:type="dxa"/>
            <w:right w:w="108" w:type="dxa"/>
          </w:tblCellMar>
        </w:tblPrEx>
        <w:trPr>
          <w:trHeight w:val="603" w:hRule="atLeast"/>
        </w:trPr>
        <w:tc>
          <w:tcPr>
            <w:tcW w:w="12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立项依据</w:t>
            </w:r>
          </w:p>
        </w:tc>
        <w:tc>
          <w:tcPr>
            <w:tcW w:w="7721" w:type="dxa"/>
            <w:gridSpan w:val="1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根据《中共湖北省委 湖北省人民政府关于加强全省政法机关信息化建设的意见》（鄂发〔2016〕18号）和《关于加强全市政法机关信息化建设的意见》（鄂州发〔2017〕11号）明确指出，各级党委、政府要将政法机关信息化建设纳入经济社会发展总体规划，统筹规划政法机关信息化建设。加大经费投入，按照“分级负担、按需保障”、“要多少钱给多少钱”的原则，市级政法机关信息化建设项目由省财政全额负担，应保尽保；市（州）、县（市、区）政法机关信息化建设项目由同级财政足额保障，市财政给予一定支持。 </w:t>
            </w:r>
          </w:p>
        </w:tc>
      </w:tr>
      <w:tr>
        <w:tblPrEx>
          <w:tblCellMar>
            <w:top w:w="0" w:type="dxa"/>
            <w:left w:w="108" w:type="dxa"/>
            <w:bottom w:w="0" w:type="dxa"/>
            <w:right w:w="108" w:type="dxa"/>
          </w:tblCellMar>
        </w:tblPrEx>
        <w:trPr>
          <w:trHeight w:val="603" w:hRule="atLeast"/>
        </w:trPr>
        <w:tc>
          <w:tcPr>
            <w:tcW w:w="122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项目预算</w:t>
            </w:r>
          </w:p>
        </w:tc>
        <w:tc>
          <w:tcPr>
            <w:tcW w:w="7721" w:type="dxa"/>
            <w:gridSpan w:val="1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项目绩效总目标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名称</w:t>
            </w:r>
          </w:p>
        </w:tc>
        <w:tc>
          <w:tcPr>
            <w:tcW w:w="6221" w:type="dxa"/>
            <w:gridSpan w:val="10"/>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6221" w:type="dxa"/>
            <w:gridSpan w:val="10"/>
            <w:vAlign w:val="center"/>
          </w:tcPr>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　　全面完成“一张大网、两大平台、三大中心、四大体系”。</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“一张大网”：政法综合信息网（市、区、街道（乡镇）三级网络纵向贯通、市直政法各部门业务网络横向联通、信息数据互通互享）。</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“两大平台”：维稳情报信息平台，应急指挥平台。</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“三大中心”：“政法云”大数据中心，政法舆情监测中心，网格化服务管理中心。</w:t>
            </w:r>
          </w:p>
          <w:p>
            <w:pPr>
              <w:widowControl/>
              <w:jc w:val="left"/>
              <w:rPr>
                <w:rFonts w:ascii="仿宋_GB2312" w:hAnsi="宋体" w:eastAsia="仿宋_GB2312" w:cs="Times New Roman"/>
                <w:kern w:val="0"/>
              </w:rPr>
            </w:pPr>
            <w:r>
              <w:rPr>
                <w:rFonts w:hint="eastAsia" w:ascii="仿宋_GB2312" w:hAnsi="宋体" w:eastAsia="仿宋_GB2312" w:cs="仿宋_GB2312"/>
                <w:kern w:val="0"/>
              </w:rPr>
              <w:t>“四大体系”：立体化社会治安防控支撑体系（覆盖重点反恐目标、重要公共场所、重要党政机关、治安卡口等重点部位，实现全面管控、动态感知、及时预警、精准打击），政法业务支撑体系（涵括政法业务协同办案系统，法院、检察、公安、国安、司法业务应用各相关系统），政法为民服务支撑体系（实现网上查询、网上受理、网上办理），安全运维支撑体系（确保信息数据和基础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tc>
        <w:tc>
          <w:tcPr>
            <w:tcW w:w="6221" w:type="dxa"/>
            <w:gridSpan w:val="10"/>
            <w:vAlign w:val="center"/>
          </w:tcPr>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　全面完成市委政法委“1234”工程。加强总体规划，加强资源整合，统筹抓好基础设施建设（如：横向纵向网络线路、应急指挥中心场所、数据存储设备和机房、政法专网机关局域网专用电脑、安全产品等）和软件平台的部署开发升级工作。完成视频会议系统向乡镇延伸工作。应急指挥中心、综治网格化中心等平台建设要与市域社会治理现代化试点工作结合起来，合力推进。</w:t>
            </w:r>
          </w:p>
          <w:p>
            <w:pPr>
              <w:widowControl/>
              <w:jc w:val="left"/>
              <w:rPr>
                <w:rFonts w:ascii="仿宋_GB2312" w:hAnsi="宋体" w:eastAsia="仿宋_GB2312" w:cs="Times New Roman"/>
                <w:kern w:val="0"/>
              </w:rPr>
            </w:pPr>
            <w:r>
              <w:rPr>
                <w:rFonts w:hint="eastAsia" w:ascii="仿宋_GB2312" w:hAnsi="宋体" w:eastAsia="仿宋_GB2312" w:cs="仿宋_GB2312"/>
                <w:kern w:val="0"/>
              </w:rPr>
              <w:t>全面推进“雪亮工程”建设。按照“全域覆盖、全网共享、全时可用、全程可控”的目标要求，加快“雪亮工程”建设。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7" w:type="dxa"/>
            <w:gridSpan w:val="3"/>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长期绩效目标表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1093"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1953" w:type="dxa"/>
            <w:gridSpan w:val="5"/>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203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keepNext w:val="0"/>
              <w:keepLines w:val="0"/>
              <w:widowControl/>
              <w:suppressLineNumbers w:val="0"/>
              <w:jc w:val="center"/>
              <w:textAlignment w:val="center"/>
              <w:rPr>
                <w:rFonts w:ascii="仿宋_GB2312" w:hAnsi="宋体" w:eastAsia="仿宋_GB2312" w:cs="仿宋_GB2312"/>
                <w:kern w:val="0"/>
              </w:rPr>
            </w:pPr>
            <w:r>
              <w:rPr>
                <w:rFonts w:hint="eastAsia" w:ascii="宋体" w:hAnsi="宋体" w:eastAsia="宋体" w:cs="宋体"/>
                <w:b/>
                <w:bCs/>
                <w:i w:val="0"/>
                <w:iCs w:val="0"/>
                <w:color w:val="000000"/>
                <w:kern w:val="0"/>
                <w:sz w:val="20"/>
                <w:szCs w:val="20"/>
                <w:u w:val="none"/>
                <w:lang w:val="en-US" w:eastAsia="zh-CN" w:bidi="ar"/>
              </w:rPr>
              <w:t>目标名称</w:t>
            </w: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一级指标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二级指标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三级指标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绩效目标分类</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年度目标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日常考核</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日常考核不少于2次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Merge w:val="continue"/>
            <w:vAlign w:val="center"/>
          </w:tcPr>
          <w:p>
            <w:pPr>
              <w:jc w:val="center"/>
              <w:rPr>
                <w:rFonts w:ascii="仿宋_GB2312" w:hAnsi="宋体" w:eastAsia="仿宋_GB2312" w:cs="Times New Roman"/>
                <w:kern w:val="0"/>
              </w:rPr>
            </w:pP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网络建设全覆盖</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全市26个乡镇联通政法专网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建立健全网上网下联动机制</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建立健全网上网下联动机制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Merge w:val="continue"/>
            <w:vAlign w:val="center"/>
          </w:tcPr>
          <w:p>
            <w:pPr>
              <w:jc w:val="center"/>
              <w:rPr>
                <w:rFonts w:ascii="仿宋_GB2312" w:hAnsi="宋体" w:eastAsia="仿宋_GB2312" w:cs="Times New Roman"/>
                <w:kern w:val="0"/>
              </w:rPr>
            </w:pP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提高应用水平和实战能力</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年度目标05</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提高应用水平和实战能力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年度建设任务按时完成</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年度建设任务按时完成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网络线路租用成本</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保障网络线路正常运行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形成实战效能，服务政法工作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政法舆情及时处置率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年度目标10</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反映政法舆情处置的效率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智能化建设信息系统正常使用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年度目标11</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政法智能化建设使用人员满意</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使用人员满意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长期目标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网络建设全覆盖</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长期目标01</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全市26个乡镇联通政法专网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建立健全网上网下联动机制</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长期目标02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建立健全网上网下联动机制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年度建设任务按时完成</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年度建设任务按时完成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网络线路租用成本</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保障网络线路正常运行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形成实战效能，服务政法工作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仿宋_GB2312"/>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政法舆情及时处置率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年度目标10</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反映政法舆情处置的效率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智能化建设信息系统正常使用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年度目标11</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b/>
                <w:bCs/>
                <w:kern w:val="0"/>
              </w:rPr>
            </w:pPr>
          </w:p>
        </w:tc>
        <w:tc>
          <w:tcPr>
            <w:tcW w:w="1093"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政法智能化建设使用人员满意</w:t>
            </w:r>
          </w:p>
        </w:tc>
        <w:tc>
          <w:tcPr>
            <w:tcW w:w="1094"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年度目标12</w:t>
            </w:r>
          </w:p>
        </w:tc>
        <w:tc>
          <w:tcPr>
            <w:tcW w:w="2038" w:type="dxa"/>
            <w:gridSpan w:val="2"/>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0"/>
                <w:szCs w:val="20"/>
                <w:u w:val="none"/>
                <w:lang w:val="en-US" w:eastAsia="zh-CN" w:bidi="ar"/>
              </w:rPr>
              <w:t>使用人员满意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目标名称</w:t>
            </w: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一级指标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二级指标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三级指标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绩效目标分类</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年度目标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日常考核</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年度目标01</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日常考核不少于2次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仿宋_GB2312"/>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Merge w:val="continue"/>
            <w:vAlign w:val="center"/>
          </w:tcPr>
          <w:p>
            <w:pPr>
              <w:jc w:val="center"/>
              <w:rPr>
                <w:rFonts w:ascii="仿宋_GB2312" w:hAnsi="宋体" w:eastAsia="仿宋_GB2312" w:cs="Times New Roman"/>
                <w:kern w:val="0"/>
              </w:rPr>
            </w:pP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网络建设全覆盖</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全市26个乡镇联通政法专网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建立健全网上网下联动机制</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年度目标04</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建立健全网上网下联动机制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Merge w:val="continue"/>
            <w:vAlign w:val="center"/>
          </w:tcPr>
          <w:p>
            <w:pPr>
              <w:jc w:val="center"/>
              <w:rPr>
                <w:rFonts w:ascii="仿宋_GB2312" w:hAnsi="宋体" w:eastAsia="仿宋_GB2312" w:cs="Times New Roman"/>
                <w:kern w:val="0"/>
              </w:rPr>
            </w:pP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提高应用水平和实战能力</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年度目标05</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提高应用水平和实战能力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年度建设任务按时完成</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年度建设任务按时完成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网络线路租用成本</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保障网络线路正常运行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形成实战效能，服务政法工作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政法舆情及时处置率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年度目标10</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反映政法舆情处置的效率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智能化建设信息系统正常使用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年度目标11</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政法智能化建设使用人员满意</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使用人员满意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长期目标</w:t>
            </w: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数量指标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网络建设全覆盖</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长期目标01</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全市26个乡镇联通政法专网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质量指标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建立健全网上网下联动机制</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长期目标02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建立健全网上网下联动机制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时效指标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 xml:space="preserve"> 年度建设任务按时完成</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年度目标06</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年度建设任务按时完成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成本指标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网络线路租用成本</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年度目标07</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保障网络线路正常运行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restart"/>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年度目标08</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系统维护可用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年度目标09</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形成实战效能，服务政法工作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政法舆情及时处置率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年度目标10</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反映政法舆情处置的效率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Times New Roman"/>
                <w:kern w:val="0"/>
              </w:rPr>
            </w:pPr>
          </w:p>
        </w:tc>
        <w:tc>
          <w:tcPr>
            <w:tcW w:w="1093" w:type="dxa"/>
            <w:vMerge w:val="continue"/>
            <w:vAlign w:val="center"/>
          </w:tcPr>
          <w:p>
            <w:pPr>
              <w:jc w:val="center"/>
              <w:rPr>
                <w:rFonts w:ascii="仿宋_GB2312" w:hAnsi="宋体" w:eastAsia="仿宋_GB2312" w:cs="Times New Roman"/>
                <w:kern w:val="0"/>
              </w:rPr>
            </w:pP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可持续影响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智能化建设信息系统正常使用</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年度目标11</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系统正常使用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Merge w:val="continue"/>
            <w:vAlign w:val="center"/>
          </w:tcPr>
          <w:p>
            <w:pPr>
              <w:jc w:val="center"/>
              <w:rPr>
                <w:rFonts w:ascii="仿宋_GB2312" w:hAnsi="宋体" w:eastAsia="仿宋_GB2312" w:cs="仿宋_GB2312"/>
                <w:kern w:val="0"/>
              </w:rPr>
            </w:pP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满意度指标</w:t>
            </w:r>
          </w:p>
        </w:tc>
        <w:tc>
          <w:tcPr>
            <w:tcW w:w="1136" w:type="dxa"/>
            <w:gridSpan w:val="2"/>
            <w:vAlign w:val="center"/>
          </w:tcPr>
          <w:p>
            <w:pPr>
              <w:keepNext w:val="0"/>
              <w:keepLines w:val="0"/>
              <w:widowControl/>
              <w:suppressLineNumbers w:val="0"/>
              <w:jc w:val="center"/>
              <w:textAlignment w:val="center"/>
              <w:rPr>
                <w:rFonts w:ascii="仿宋_GB2312" w:hAnsi="Arial" w:eastAsia="仿宋_GB2312" w:cs="Times New Roman"/>
                <w:kern w:val="0"/>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1953" w:type="dxa"/>
            <w:gridSpan w:val="5"/>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政法智能化建设使用人员满意</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年度目标12</w:t>
            </w:r>
          </w:p>
        </w:tc>
        <w:tc>
          <w:tcPr>
            <w:tcW w:w="2038" w:type="dxa"/>
            <w:gridSpan w:val="2"/>
            <w:vAlign w:val="center"/>
          </w:tcPr>
          <w:p>
            <w:pPr>
              <w:keepNext w:val="0"/>
              <w:keepLines w:val="0"/>
              <w:widowControl/>
              <w:suppressLineNumbers w:val="0"/>
              <w:jc w:val="left"/>
              <w:textAlignment w:val="center"/>
              <w:rPr>
                <w:rFonts w:ascii="仿宋_GB2312" w:hAnsi="宋体" w:eastAsia="仿宋_GB2312" w:cs="Times New Roman"/>
                <w:kern w:val="0"/>
              </w:rPr>
            </w:pPr>
            <w:r>
              <w:rPr>
                <w:rFonts w:hint="eastAsia" w:ascii="宋体" w:hAnsi="宋体" w:eastAsia="宋体" w:cs="宋体"/>
                <w:i w:val="0"/>
                <w:iCs w:val="0"/>
                <w:color w:val="000000"/>
                <w:kern w:val="0"/>
                <w:sz w:val="20"/>
                <w:szCs w:val="20"/>
                <w:u w:val="none"/>
                <w:lang w:val="en-US" w:eastAsia="zh-CN" w:bidi="ar"/>
              </w:rPr>
              <w:t>使用人员满意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34"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目标名称</w:t>
            </w:r>
          </w:p>
        </w:tc>
        <w:tc>
          <w:tcPr>
            <w:tcW w:w="1093"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一级指标</w:t>
            </w:r>
          </w:p>
        </w:tc>
        <w:tc>
          <w:tcPr>
            <w:tcW w:w="1136"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二级指标</w:t>
            </w:r>
          </w:p>
        </w:tc>
        <w:tc>
          <w:tcPr>
            <w:tcW w:w="1953" w:type="dxa"/>
            <w:gridSpan w:val="5"/>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三级指标</w:t>
            </w:r>
          </w:p>
        </w:tc>
        <w:tc>
          <w:tcPr>
            <w:tcW w:w="1094" w:type="dxa"/>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绩效目标分类</w:t>
            </w:r>
          </w:p>
        </w:tc>
        <w:tc>
          <w:tcPr>
            <w:tcW w:w="2038" w:type="dxa"/>
            <w:gridSpan w:val="2"/>
            <w:vAlign w:val="center"/>
          </w:tcPr>
          <w:p>
            <w:pPr>
              <w:keepNext w:val="0"/>
              <w:keepLines w:val="0"/>
              <w:widowControl/>
              <w:suppressLineNumbers w:val="0"/>
              <w:jc w:val="center"/>
              <w:textAlignment w:val="center"/>
              <w:rPr>
                <w:rFonts w:ascii="仿宋_GB2312" w:hAnsi="宋体" w:eastAsia="仿宋_GB2312" w:cs="Times New Roman"/>
                <w:kern w:val="0"/>
              </w:rPr>
            </w:pPr>
            <w:r>
              <w:rPr>
                <w:rFonts w:hint="eastAsia" w:ascii="宋体" w:hAnsi="宋体" w:eastAsia="宋体" w:cs="宋体"/>
                <w:b/>
                <w:bCs/>
                <w:i w:val="0"/>
                <w:iCs w:val="0"/>
                <w:color w:val="000000"/>
                <w:kern w:val="0"/>
                <w:sz w:val="20"/>
                <w:szCs w:val="20"/>
                <w:u w:val="none"/>
                <w:lang w:val="en-US" w:eastAsia="zh-CN" w:bidi="ar"/>
              </w:rPr>
              <w:t>指标内容</w:t>
            </w:r>
          </w:p>
        </w:tc>
      </w:tr>
      <w:tr>
        <w:tblPrEx>
          <w:tblCellMar>
            <w:top w:w="0" w:type="dxa"/>
            <w:left w:w="108" w:type="dxa"/>
            <w:bottom w:w="0" w:type="dxa"/>
            <w:right w:w="108" w:type="dxa"/>
          </w:tblCellMar>
        </w:tblPrEx>
        <w:trPr>
          <w:trHeight w:val="603" w:hRule="atLeast"/>
        </w:trPr>
        <w:tc>
          <w:tcPr>
            <w:tcW w:w="1634" w:type="dxa"/>
            <w:gridSpan w:val="2"/>
            <w:vMerge w:val="restart"/>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主管部门审核意见</w:t>
            </w:r>
          </w:p>
        </w:tc>
        <w:tc>
          <w:tcPr>
            <w:tcW w:w="7314" w:type="dxa"/>
            <w:gridSpan w:val="11"/>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审核意见：              </w:t>
            </w:r>
            <w:r>
              <w:rPr>
                <w:rFonts w:hint="eastAsia" w:ascii="仿宋_GB2312" w:hAnsi="仿宋_GB2312" w:eastAsia="仿宋_GB2312" w:cs="仿宋_GB2312"/>
                <w:color w:val="auto"/>
                <w:kern w:val="0"/>
                <w:sz w:val="21"/>
                <w:szCs w:val="21"/>
                <w:lang w:eastAsia="zh-CN"/>
              </w:rPr>
              <w:t>同意</w:t>
            </w:r>
            <w:r>
              <w:rPr>
                <w:rFonts w:hint="eastAsia" w:ascii="仿宋_GB2312" w:hAnsi="仿宋_GB2312" w:eastAsia="仿宋_GB2312" w:cs="仿宋_GB2312"/>
                <w:color w:val="auto"/>
                <w:kern w:val="0"/>
                <w:sz w:val="21"/>
                <w:szCs w:val="21"/>
              </w:rPr>
              <w:t xml:space="preserve">      </w:t>
            </w:r>
          </w:p>
        </w:tc>
      </w:tr>
      <w:tr>
        <w:tblPrEx>
          <w:tblCellMar>
            <w:top w:w="0" w:type="dxa"/>
            <w:left w:w="108" w:type="dxa"/>
            <w:bottom w:w="0" w:type="dxa"/>
            <w:right w:w="108" w:type="dxa"/>
          </w:tblCellMar>
        </w:tblPrEx>
        <w:trPr>
          <w:trHeight w:val="303" w:hRule="atLeast"/>
        </w:trPr>
        <w:tc>
          <w:tcPr>
            <w:tcW w:w="1634" w:type="dxa"/>
            <w:gridSpan w:val="2"/>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p>
        </w:tc>
      </w:tr>
      <w:tr>
        <w:tblPrEx>
          <w:tblCellMar>
            <w:top w:w="0" w:type="dxa"/>
            <w:left w:w="108" w:type="dxa"/>
            <w:bottom w:w="0" w:type="dxa"/>
            <w:right w:w="108" w:type="dxa"/>
          </w:tblCellMar>
        </w:tblPrEx>
        <w:trPr>
          <w:trHeight w:val="675" w:hRule="atLeast"/>
        </w:trPr>
        <w:tc>
          <w:tcPr>
            <w:tcW w:w="1634" w:type="dxa"/>
            <w:gridSpan w:val="2"/>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auto"/>
                <w:kern w:val="0"/>
                <w:sz w:val="21"/>
                <w:szCs w:val="21"/>
              </w:rPr>
              <w:t>单位公章：</w:t>
            </w:r>
            <w:r>
              <w:rPr>
                <w:rFonts w:hint="eastAsia" w:ascii="仿宋_GB2312" w:hAnsi="仿宋_GB2312" w:eastAsia="仿宋_GB2312" w:cs="仿宋_GB2312"/>
                <w:color w:val="auto"/>
                <w:kern w:val="0"/>
                <w:sz w:val="21"/>
                <w:szCs w:val="21"/>
                <w:lang w:val="en-US" w:eastAsia="zh-CN"/>
              </w:rPr>
              <w:t>2022</w:t>
            </w: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10</w:t>
            </w:r>
            <w:r>
              <w:rPr>
                <w:rFonts w:hint="eastAsia" w:ascii="仿宋_GB2312" w:hAnsi="仿宋_GB2312" w:eastAsia="仿宋_GB2312" w:cs="仿宋_GB2312"/>
                <w:color w:val="auto"/>
                <w:kern w:val="0"/>
                <w:sz w:val="21"/>
                <w:szCs w:val="21"/>
              </w:rPr>
              <w:t>月</w:t>
            </w:r>
            <w:r>
              <w:rPr>
                <w:rFonts w:hint="eastAsia" w:ascii="仿宋_GB2312" w:hAnsi="仿宋_GB2312" w:eastAsia="仿宋_GB2312" w:cs="仿宋_GB2312"/>
                <w:color w:val="auto"/>
                <w:kern w:val="0"/>
                <w:sz w:val="21"/>
                <w:szCs w:val="21"/>
                <w:lang w:val="en-US" w:eastAsia="zh-CN"/>
              </w:rPr>
              <w:t>20</w:t>
            </w:r>
            <w:r>
              <w:rPr>
                <w:rFonts w:hint="eastAsia" w:ascii="仿宋_GB2312" w:hAnsi="仿宋_GB2312" w:eastAsia="仿宋_GB2312" w:cs="仿宋_GB2312"/>
                <w:color w:val="auto"/>
                <w:kern w:val="0"/>
                <w:sz w:val="21"/>
                <w:szCs w:val="21"/>
              </w:rPr>
              <w:t xml:space="preserve"> 日    </w:t>
            </w:r>
          </w:p>
        </w:tc>
      </w:tr>
    </w:tbl>
    <w:p/>
    <w:p>
      <w:pPr>
        <w:widowControl/>
        <w:rPr>
          <w:rFonts w:ascii="仿宋_GB2312"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4NDA4ZDc2NTliMTMyOGEzOTFiN2MyZGZjODhjNGQifQ=="/>
  </w:docVars>
  <w:rsids>
    <w:rsidRoot w:val="62E502C3"/>
    <w:rsid w:val="1AB03212"/>
    <w:rsid w:val="48B5084B"/>
    <w:rsid w:val="62E502C3"/>
    <w:rsid w:val="6BA4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2023-11-06T10:12:00Z</dcterms:created>
  <dc:creator>叶贝</dc:creator>
  <cp:lastModifiedBy>Administrator</cp:lastModifiedBy>
  <dcterms:modified xsi:type="dcterms:W3CDTF">2023-11-10T09:04:34Z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02D893494518495FBE028E65AFB90A2B_13</vt:lpwstr>
  </property>
</Properties>
</file>