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ascii="黑体" w:hAnsi="黑体" w:eastAsia="黑体" w:cs="Times New Roman"/>
          <w:sz w:val="28"/>
          <w:szCs w:val="28"/>
        </w:rPr>
      </w:pPr>
    </w:p>
    <w:p>
      <w:pPr>
        <w:widowControl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项目</w:t>
      </w:r>
      <w:r>
        <w:rPr>
          <w:rFonts w:hint="eastAsia" w:ascii="方正小标宋简体" w:hAnsi="Times New Roman" w:eastAsia="方正小标宋简体" w:cs="方正小标宋简体"/>
          <w:sz w:val="36"/>
          <w:szCs w:val="36"/>
          <w:lang w:eastAsia="zh-CN"/>
        </w:rPr>
        <w:t>绩效目标</w:t>
      </w: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申报表</w:t>
      </w:r>
    </w:p>
    <w:tbl>
      <w:tblPr>
        <w:tblStyle w:val="2"/>
        <w:tblW w:w="89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407"/>
        <w:gridCol w:w="1093"/>
        <w:gridCol w:w="30"/>
        <w:gridCol w:w="1106"/>
        <w:gridCol w:w="6"/>
        <w:gridCol w:w="524"/>
        <w:gridCol w:w="271"/>
        <w:gridCol w:w="1070"/>
        <w:gridCol w:w="82"/>
        <w:gridCol w:w="1094"/>
        <w:gridCol w:w="334"/>
        <w:gridCol w:w="17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43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申报单位：</w:t>
            </w: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中共鄂州市委政法委员会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 xml:space="preserve">   </w:t>
            </w:r>
          </w:p>
        </w:tc>
        <w:tc>
          <w:tcPr>
            <w:tcW w:w="321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金额单位：万元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市直行业部门调处中心专项工作经费</w:t>
            </w:r>
            <w:bookmarkEnd w:id="0"/>
          </w:p>
        </w:tc>
        <w:tc>
          <w:tcPr>
            <w:tcW w:w="11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项目类别</w:t>
            </w:r>
          </w:p>
        </w:tc>
        <w:tc>
          <w:tcPr>
            <w:tcW w:w="18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本级支出项目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项目性质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持续性项目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立项依据</w:t>
            </w:r>
          </w:p>
        </w:tc>
        <w:tc>
          <w:tcPr>
            <w:tcW w:w="772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、法律法规、政策文件、会议纪要或领导批示：湖北省委办公厅、省人民政府办公厅印发的《关于加强行业性专业人民调解委员会建设的意见》（鄂办发[2011]8号）“各级地方人民政府要落实《人民调解法》的规定和财政部、司法部《关于进一步加强人民调解工作经费保障的意见》，对人民调解工作所需经费给予必要的支持和保障，将人民调解工作经费纳入同级财政预算，并加强使用管理，将资金管好、用好。”市委办、市政府办印发《关于完善和创新社会矛盾纠纷预防化解机制的指导意见》的通知（鄂州办发[2015]16号）明文规定：“各级政府（行政）应将社会矛盾纠纷预防化解工作经费列入财政预算，并根据经济发展情况逐年提高。各社会矛盾纠纷调处中心、专业调处所需的运行经费、补助经费、调解员补贴经费和专家咨询费等由财政部门按照有关规定予以保障。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、立项意义和必要性：人民调解制度是一项具有中国特色的社会主义法律制度，在化解矛盾纠纷、维护社会稳定、实现群众自治及基层民主法制建设方面发挥着重要作用，对巩固党的执政地位、提高政府执行能力、维护广大人民群众利益、促进社会和谐稳定具有重大意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当前，我市经济社会快速发展，同时医患、交通事故、劳动争议、征地拆迁、环境保护、物业管理等具有行业性、专业性特点的矛盾纠纷凸显，已经日益成为影响我市经济社会发展、社会和谐稳定的热点、难点问题。因其具有很强的专业性，必须建立相应的行业性专业人民调解委员会，专门从事特定行业领域矛盾纠纷的调解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3、对经济社会发展的影响：切实加强行业性专业人民调解委员会建设，有效化解特定行业领域的矛盾纠纷，有利于维护社会的和谐稳定，有利于促进全市经济平稳健康发展。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4、对履行职能完成工作任务的必要性和推动作用：经费保障对于搭建行业性专业矛盾纠纷调处平台，加强人民调解队伍建设，聘请人民调解员、法律顾问开展社会矛盾纠纷调解工作，创造必要的工作办公条件有重要作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项目预算</w:t>
            </w:r>
          </w:p>
        </w:tc>
        <w:tc>
          <w:tcPr>
            <w:tcW w:w="772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78万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48" w:type="dxa"/>
            <w:gridSpan w:val="1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项目绩效总目标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名称</w:t>
            </w:r>
          </w:p>
        </w:tc>
        <w:tc>
          <w:tcPr>
            <w:tcW w:w="6221" w:type="dxa"/>
            <w:gridSpan w:val="1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目标说明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长期绩效目标</w:t>
            </w:r>
            <w:r>
              <w:rPr>
                <w:rFonts w:ascii="仿宋_GB2312" w:hAnsi="宋体" w:eastAsia="仿宋_GB2312" w:cs="仿宋_GB2312"/>
                <w:kern w:val="0"/>
              </w:rPr>
              <w:t>1</w:t>
            </w:r>
          </w:p>
        </w:tc>
        <w:tc>
          <w:tcPr>
            <w:tcW w:w="6221" w:type="dxa"/>
            <w:gridSpan w:val="1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/>
              </w:rPr>
              <w:t xml:space="preserve">  以“一退三进大调解”为基本方式，实现社会矛盾纠纷源头预防、全面排查、及时掌控、有效化解，构建体系完善、机制健全、职责明确、监督有力、保障到位的社会矛盾纠纷预防化解工作格局。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6221" w:type="dxa"/>
            <w:gridSpan w:val="1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年度绩效目标</w:t>
            </w:r>
            <w:r>
              <w:rPr>
                <w:rFonts w:ascii="仿宋_GB2312" w:hAnsi="宋体" w:eastAsia="仿宋_GB2312" w:cs="仿宋_GB2312"/>
                <w:kern w:val="0"/>
              </w:rPr>
              <w:t>1</w:t>
            </w:r>
          </w:p>
        </w:tc>
        <w:tc>
          <w:tcPr>
            <w:tcW w:w="6221" w:type="dxa"/>
            <w:gridSpan w:val="1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 xml:space="preserve"> 逐步建立1+N社会矛盾纠纷预防化解机制，市委政法委将根据实际需要不断扩大1+N的范畴。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6221" w:type="dxa"/>
            <w:gridSpan w:val="1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48" w:type="dxa"/>
            <w:gridSpan w:val="1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长期绩效目标表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目标名称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一级指标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二级指标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三级指标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指标值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指标值确定依据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目标名称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绩效目标分类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</w:t>
            </w:r>
          </w:p>
        </w:tc>
        <w:tc>
          <w:tcPr>
            <w:tcW w:w="109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指标1：调解各类民事纠纷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年度目标01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调解各类民事纠纷不少于1500起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指标2：法律援助案件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年度目标02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法律援助案件不少于50起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</w:p>
        </w:tc>
        <w:tc>
          <w:tcPr>
            <w:tcW w:w="113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指标1：法律援助案件结案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年度目标03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法律援助案件结案率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指标2：群众投诉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年度目标04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无群众投诉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指标3：重大群体性事件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年度目标05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不发生重大群体性事件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指标1：挽回经济损失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年度目标06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为当事人挽回经济损失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指标1：赴省进京上访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年度目标06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杜绝赴省进京上访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指标2：群体性事件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年度目标06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有效预防和减少群体性事件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生态效益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指标1：各行业矛盾纠纷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年度目标07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及时化解各行业矛盾纠纷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生态效益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指标2：人民群众满意度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年度目标08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人民群众满意度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生态效益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指标3：受调解群众满意度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年度目标09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受调解群众满意度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长期目标</w:t>
            </w:r>
          </w:p>
        </w:tc>
        <w:tc>
          <w:tcPr>
            <w:tcW w:w="109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指标1：调解各类民事纠纷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年度目标01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调解各类民事纠纷不少于1500起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指标2：法律援助案件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年度目标02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法律援助案件不少于50起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指标1：法律援助案件结案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年度目标03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法律援助案件结案率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指标2：群众投诉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年度目标04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无群众投诉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Arial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指标3：重大群体性事件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年度目标05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不发生重大群体性事件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指标1：赴省进京上访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年度目标06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杜绝赴省进京上访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Arial" w:eastAsia="仿宋_GB2312" w:cs="Times New Roman"/>
                <w:kern w:val="0"/>
              </w:rPr>
            </w:pP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指标2：群体性事件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年度目标07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有效预防和减少群体性事件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可持续影响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指标1：不断提升我市涉稳风险矛盾纠纷排查调处工作水平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年度目标08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积极探索市域社会治理新格局。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指标1：满足群众矛盾纠纷调解需求，帮助化解社会矛盾，维护社会稳定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年度目标09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建立健全“1+N”矛盾纠纷调处平台，调处化解各类矛盾纠纷。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目标名称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绩效目标分类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</w:t>
            </w:r>
          </w:p>
        </w:tc>
        <w:tc>
          <w:tcPr>
            <w:tcW w:w="109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指标1：调解各类民事纠纷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年度目标01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调解各类民事纠纷不少于1500起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指标2：法律援助案件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年度目标02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法律援助案件不少于50起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指标1：法律援助案件结案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年度目标03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法律援助案件结案率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指标2：群众投诉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年度目标04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无群众投诉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指标3：重大群体性事件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年度目标05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不发生重大群体性事件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指标1：挽回经济损失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年度目标06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为当事人挽回经济损失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指标1：赴省进京上访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年度目标06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杜绝赴省进京上访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指标2：群体性事件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年度目标06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有效预防和减少群体性事件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生态效益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指标1：各行业矛盾纠纷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年度目标07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及时化解各行业矛盾纠纷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生态效益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指标2：人民群众满意度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年度目标08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人民群众满意度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生态效益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指标3：受调解群众满意度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年度目标09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受调解群众满意度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长期目标</w:t>
            </w:r>
          </w:p>
        </w:tc>
        <w:tc>
          <w:tcPr>
            <w:tcW w:w="109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指标1：调解各类民事纠纷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年度目标01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调解各类民事纠纷不少于1500起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指标2：法律援助案件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年度目标02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法律援助案件不少于50起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指标1：法律援助案件结案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年度目标03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color w:val="auto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法律援助案件结案率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指标2：群众投诉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年度目标04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无群众投诉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指标3：重大群体性事件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年度目标05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不发生重大群体性事件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指标1：赴省进京上访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年度目标06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杜绝赴省进京上访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指标2：群体性事件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年度目标07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有效预防和减少群体性事件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可持续影响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指标1：不断提升我市涉稳风险矛盾纠纷排查调处工作水平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年度目标08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积极探索市域社会治理新格局。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</w:rPr>
            </w:pP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指标1：满足群众矛盾纠纷调解需求，帮助化解社会矛盾，维护社会稳定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年度目标09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建立健全“1+N”矛盾纠纷调处平台，调处化解各类矛盾纠纷。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目标名称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绩效目标分类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3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主管部门审核意见</w:t>
            </w:r>
          </w:p>
        </w:tc>
        <w:tc>
          <w:tcPr>
            <w:tcW w:w="7314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审核意见：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同意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63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314" w:type="dxa"/>
            <w:gridSpan w:val="11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3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314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单位公章：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2022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 日    </w:t>
            </w:r>
          </w:p>
        </w:tc>
      </w:tr>
    </w:tbl>
    <w:p/>
    <w:p>
      <w:pPr>
        <w:widowControl/>
        <w:rPr>
          <w:rFonts w:ascii="仿宋_GB2312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4NDA4ZDc2NTliMTMyOGEzOTFiN2MyZGZjODhjNGQifQ=="/>
  </w:docVars>
  <w:rsids>
    <w:rsidRoot w:val="62E502C3"/>
    <w:rsid w:val="1AB03212"/>
    <w:rsid w:val="1AFA077C"/>
    <w:rsid w:val="203C63F9"/>
    <w:rsid w:val="2B2554ED"/>
    <w:rsid w:val="48B5084B"/>
    <w:rsid w:val="586C08BC"/>
    <w:rsid w:val="62E502C3"/>
    <w:rsid w:val="64F943AD"/>
    <w:rsid w:val="6BA40AE7"/>
    <w:rsid w:val="7479108A"/>
    <w:rsid w:val="7E8B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5">
    <w:name w:val="font31"/>
    <w:basedOn w:val="3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6">
    <w:name w:val="font2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2023-11-06T10:12:00Z</dcterms:created>
  <dc:creator>叶贝</dc:creator>
  <cp:lastModifiedBy>Administrator</cp:lastModifiedBy>
  <dcterms:modified xsi:type="dcterms:W3CDTF">2023-11-10T09:19:21Z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6D7436F75FE64D689D29F0338208BF48_13</vt:lpwstr>
  </property>
</Properties>
</file>